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A38CE" w14:textId="77777777" w:rsidR="00C01D25" w:rsidRDefault="008E476A">
      <w:pPr>
        <w:jc w:val="center"/>
        <w:outlineLvl w:val="0"/>
        <w:rPr>
          <w:rFonts w:ascii="Arial" w:hAnsi="Arial"/>
          <w:sz w:val="18"/>
          <w:szCs w:val="18"/>
        </w:rPr>
      </w:pPr>
      <w:r>
        <w:rPr>
          <w:rFonts w:ascii="Arial" w:hAnsi="Arial"/>
          <w:sz w:val="18"/>
          <w:szCs w:val="18"/>
        </w:rPr>
        <w:t>Raport końcowy z realizacji projektu informatycznego</w:t>
      </w:r>
    </w:p>
    <w:p w14:paraId="0311E9A4" w14:textId="77777777" w:rsidR="00C01D25" w:rsidRDefault="00C01D25">
      <w:pPr>
        <w:outlineLvl w:val="0"/>
        <w:rPr>
          <w:rFonts w:ascii="Arial" w:hAnsi="Arial"/>
          <w:sz w:val="18"/>
          <w:szCs w:val="18"/>
        </w:rPr>
      </w:pPr>
    </w:p>
    <w:tbl>
      <w:tblPr>
        <w:tblStyle w:val="Tabela-Siatka"/>
        <w:tblW w:w="9634" w:type="dxa"/>
        <w:tblLook w:val="04A0" w:firstRow="1" w:lastRow="0" w:firstColumn="1" w:lastColumn="0" w:noHBand="0" w:noVBand="1"/>
      </w:tblPr>
      <w:tblGrid>
        <w:gridCol w:w="486"/>
        <w:gridCol w:w="1757"/>
        <w:gridCol w:w="7391"/>
      </w:tblGrid>
      <w:tr w:rsidR="00C01D25" w14:paraId="1105B024" w14:textId="77777777">
        <w:tc>
          <w:tcPr>
            <w:tcW w:w="485" w:type="dxa"/>
          </w:tcPr>
          <w:p w14:paraId="613CF1E6" w14:textId="77777777" w:rsidR="00C01D25" w:rsidRDefault="008E476A">
            <w:pPr>
              <w:spacing w:after="0" w:line="240" w:lineRule="auto"/>
              <w:jc w:val="center"/>
              <w:rPr>
                <w:rFonts w:ascii="Arial" w:hAnsi="Arial"/>
                <w:sz w:val="18"/>
                <w:szCs w:val="18"/>
              </w:rPr>
            </w:pPr>
            <w:r>
              <w:rPr>
                <w:rFonts w:ascii="Arial" w:hAnsi="Arial"/>
                <w:b/>
                <w:sz w:val="18"/>
                <w:szCs w:val="18"/>
              </w:rPr>
              <w:t>Lp.</w:t>
            </w:r>
          </w:p>
        </w:tc>
        <w:tc>
          <w:tcPr>
            <w:tcW w:w="1757" w:type="dxa"/>
          </w:tcPr>
          <w:p w14:paraId="7A18DCAB" w14:textId="77777777" w:rsidR="00C01D25" w:rsidRDefault="008E476A">
            <w:pPr>
              <w:spacing w:after="0" w:line="240" w:lineRule="auto"/>
              <w:jc w:val="center"/>
              <w:rPr>
                <w:rFonts w:ascii="Arial" w:hAnsi="Arial"/>
                <w:sz w:val="18"/>
                <w:szCs w:val="18"/>
              </w:rPr>
            </w:pPr>
            <w:r>
              <w:rPr>
                <w:rFonts w:ascii="Arial" w:hAnsi="Arial"/>
                <w:b/>
                <w:sz w:val="18"/>
                <w:szCs w:val="18"/>
              </w:rPr>
              <w:t>Wyszczególnienie</w:t>
            </w:r>
          </w:p>
        </w:tc>
        <w:tc>
          <w:tcPr>
            <w:tcW w:w="7392" w:type="dxa"/>
          </w:tcPr>
          <w:p w14:paraId="26D69458" w14:textId="77777777" w:rsidR="00C01D25" w:rsidRDefault="008E476A">
            <w:pPr>
              <w:spacing w:after="0" w:line="240" w:lineRule="auto"/>
              <w:jc w:val="center"/>
              <w:rPr>
                <w:rFonts w:ascii="Arial" w:hAnsi="Arial"/>
                <w:sz w:val="18"/>
                <w:szCs w:val="18"/>
              </w:rPr>
            </w:pPr>
            <w:r>
              <w:rPr>
                <w:rFonts w:ascii="Arial" w:hAnsi="Arial"/>
                <w:b/>
                <w:sz w:val="18"/>
                <w:szCs w:val="18"/>
              </w:rPr>
              <w:t>Opis</w:t>
            </w:r>
          </w:p>
        </w:tc>
      </w:tr>
      <w:tr w:rsidR="00C01D25" w14:paraId="24727793" w14:textId="77777777">
        <w:tc>
          <w:tcPr>
            <w:tcW w:w="485" w:type="dxa"/>
          </w:tcPr>
          <w:p w14:paraId="22430316" w14:textId="77777777" w:rsidR="00C01D25" w:rsidRDefault="00C01D25">
            <w:pPr>
              <w:pStyle w:val="Akapitzlist"/>
              <w:numPr>
                <w:ilvl w:val="0"/>
                <w:numId w:val="1"/>
              </w:numPr>
              <w:spacing w:after="0" w:line="240" w:lineRule="auto"/>
              <w:rPr>
                <w:rFonts w:ascii="Arial" w:hAnsi="Arial"/>
                <w:sz w:val="18"/>
                <w:szCs w:val="18"/>
              </w:rPr>
            </w:pPr>
          </w:p>
        </w:tc>
        <w:tc>
          <w:tcPr>
            <w:tcW w:w="1757" w:type="dxa"/>
          </w:tcPr>
          <w:p w14:paraId="7FDA2AB2" w14:textId="77777777" w:rsidR="00C01D25" w:rsidRDefault="008E476A">
            <w:pPr>
              <w:spacing w:after="0" w:line="240" w:lineRule="auto"/>
              <w:rPr>
                <w:rFonts w:ascii="Arial" w:hAnsi="Arial"/>
                <w:sz w:val="18"/>
                <w:szCs w:val="18"/>
              </w:rPr>
            </w:pPr>
            <w:r>
              <w:rPr>
                <w:rFonts w:ascii="Arial" w:hAnsi="Arial"/>
                <w:sz w:val="18"/>
                <w:szCs w:val="18"/>
              </w:rPr>
              <w:t>Tytuł projektu</w:t>
            </w:r>
          </w:p>
        </w:tc>
        <w:tc>
          <w:tcPr>
            <w:tcW w:w="7392" w:type="dxa"/>
          </w:tcPr>
          <w:p w14:paraId="6FA4E858" w14:textId="77777777" w:rsidR="00C01D25" w:rsidRDefault="008E476A">
            <w:pPr>
              <w:spacing w:after="0" w:line="240" w:lineRule="auto"/>
              <w:jc w:val="both"/>
              <w:rPr>
                <w:rFonts w:ascii="Arial" w:hAnsi="Arial"/>
                <w:sz w:val="18"/>
                <w:szCs w:val="18"/>
              </w:rPr>
            </w:pPr>
            <w:r>
              <w:rPr>
                <w:rFonts w:ascii="Arial" w:hAnsi="Arial"/>
                <w:sz w:val="18"/>
                <w:szCs w:val="18"/>
              </w:rPr>
              <w:t>Dziedzictwo Chopinowskie w otwartym dostępie</w:t>
            </w:r>
          </w:p>
        </w:tc>
      </w:tr>
      <w:tr w:rsidR="00C01D25" w14:paraId="79E7B3DE" w14:textId="77777777">
        <w:trPr>
          <w:trHeight w:val="265"/>
        </w:trPr>
        <w:tc>
          <w:tcPr>
            <w:tcW w:w="485" w:type="dxa"/>
          </w:tcPr>
          <w:p w14:paraId="566202C4" w14:textId="77777777" w:rsidR="00C01D25" w:rsidRDefault="00C01D25">
            <w:pPr>
              <w:pStyle w:val="Akapitzlist"/>
              <w:numPr>
                <w:ilvl w:val="0"/>
                <w:numId w:val="1"/>
              </w:numPr>
              <w:spacing w:after="0" w:line="240" w:lineRule="auto"/>
              <w:rPr>
                <w:rFonts w:ascii="Arial" w:hAnsi="Arial"/>
                <w:sz w:val="18"/>
                <w:szCs w:val="18"/>
              </w:rPr>
            </w:pPr>
          </w:p>
        </w:tc>
        <w:tc>
          <w:tcPr>
            <w:tcW w:w="1757" w:type="dxa"/>
          </w:tcPr>
          <w:p w14:paraId="0910F42B" w14:textId="77777777" w:rsidR="00C01D25" w:rsidRDefault="008E476A">
            <w:pPr>
              <w:spacing w:after="0" w:line="240" w:lineRule="auto"/>
              <w:rPr>
                <w:rFonts w:ascii="Arial" w:hAnsi="Arial"/>
                <w:sz w:val="18"/>
                <w:szCs w:val="18"/>
              </w:rPr>
            </w:pPr>
            <w:r>
              <w:rPr>
                <w:rFonts w:ascii="Arial" w:hAnsi="Arial"/>
                <w:sz w:val="18"/>
                <w:szCs w:val="18"/>
              </w:rPr>
              <w:t xml:space="preserve">Beneficjent projektu </w:t>
            </w:r>
          </w:p>
        </w:tc>
        <w:tc>
          <w:tcPr>
            <w:tcW w:w="7392" w:type="dxa"/>
          </w:tcPr>
          <w:p w14:paraId="6A73DCBA" w14:textId="77777777" w:rsidR="00C01D25" w:rsidRDefault="008E476A">
            <w:pPr>
              <w:spacing w:after="0" w:line="240" w:lineRule="auto"/>
              <w:jc w:val="both"/>
              <w:rPr>
                <w:rFonts w:ascii="Arial" w:hAnsi="Arial"/>
                <w:sz w:val="18"/>
                <w:szCs w:val="18"/>
              </w:rPr>
            </w:pPr>
            <w:r>
              <w:rPr>
                <w:rFonts w:ascii="Arial" w:hAnsi="Arial"/>
                <w:sz w:val="18"/>
                <w:szCs w:val="18"/>
              </w:rPr>
              <w:t>Narodowy Instytut Fryderyka Chopina</w:t>
            </w:r>
          </w:p>
        </w:tc>
      </w:tr>
      <w:tr w:rsidR="00C01D25" w14:paraId="01286088" w14:textId="77777777">
        <w:tc>
          <w:tcPr>
            <w:tcW w:w="485" w:type="dxa"/>
          </w:tcPr>
          <w:p w14:paraId="48EC45DB" w14:textId="77777777" w:rsidR="00C01D25" w:rsidRDefault="00C01D25">
            <w:pPr>
              <w:pStyle w:val="Akapitzlist"/>
              <w:numPr>
                <w:ilvl w:val="0"/>
                <w:numId w:val="1"/>
              </w:numPr>
              <w:spacing w:after="0" w:line="240" w:lineRule="auto"/>
              <w:rPr>
                <w:rFonts w:ascii="Arial" w:hAnsi="Arial"/>
                <w:sz w:val="18"/>
                <w:szCs w:val="18"/>
              </w:rPr>
            </w:pPr>
          </w:p>
        </w:tc>
        <w:tc>
          <w:tcPr>
            <w:tcW w:w="1757" w:type="dxa"/>
          </w:tcPr>
          <w:p w14:paraId="2B40C64A" w14:textId="77777777" w:rsidR="00C01D25" w:rsidRDefault="008E476A">
            <w:pPr>
              <w:spacing w:after="0" w:line="240" w:lineRule="auto"/>
              <w:rPr>
                <w:rFonts w:ascii="Arial" w:hAnsi="Arial"/>
                <w:sz w:val="18"/>
                <w:szCs w:val="18"/>
              </w:rPr>
            </w:pPr>
            <w:r>
              <w:rPr>
                <w:rFonts w:ascii="Arial" w:hAnsi="Arial"/>
                <w:sz w:val="18"/>
                <w:szCs w:val="18"/>
              </w:rPr>
              <w:t xml:space="preserve">Partnerzy </w:t>
            </w:r>
          </w:p>
        </w:tc>
        <w:tc>
          <w:tcPr>
            <w:tcW w:w="7392" w:type="dxa"/>
          </w:tcPr>
          <w:p w14:paraId="6F03D5A7" w14:textId="77777777" w:rsidR="00C01D25" w:rsidRDefault="008E476A">
            <w:pPr>
              <w:spacing w:after="0" w:line="240" w:lineRule="auto"/>
              <w:jc w:val="both"/>
              <w:rPr>
                <w:rFonts w:ascii="Arial" w:hAnsi="Arial"/>
                <w:sz w:val="18"/>
                <w:szCs w:val="18"/>
              </w:rPr>
            </w:pPr>
            <w:r>
              <w:rPr>
                <w:rFonts w:ascii="Arial" w:hAnsi="Arial"/>
                <w:sz w:val="18"/>
                <w:szCs w:val="18"/>
              </w:rPr>
              <w:t>Nie dotyczy – projekt realizowany samodzielnie przez beneficjenta</w:t>
            </w:r>
          </w:p>
        </w:tc>
      </w:tr>
      <w:tr w:rsidR="00C01D25" w14:paraId="571342B1" w14:textId="77777777">
        <w:tc>
          <w:tcPr>
            <w:tcW w:w="485" w:type="dxa"/>
          </w:tcPr>
          <w:p w14:paraId="050BF470" w14:textId="77777777" w:rsidR="00C01D25" w:rsidRDefault="00C01D25">
            <w:pPr>
              <w:pStyle w:val="Akapitzlist"/>
              <w:numPr>
                <w:ilvl w:val="0"/>
                <w:numId w:val="1"/>
              </w:numPr>
              <w:spacing w:after="0" w:line="240" w:lineRule="auto"/>
              <w:rPr>
                <w:rFonts w:ascii="Arial" w:hAnsi="Arial"/>
                <w:sz w:val="18"/>
                <w:szCs w:val="18"/>
              </w:rPr>
            </w:pPr>
          </w:p>
        </w:tc>
        <w:tc>
          <w:tcPr>
            <w:tcW w:w="1757" w:type="dxa"/>
          </w:tcPr>
          <w:p w14:paraId="36AD148D" w14:textId="77777777" w:rsidR="00C01D25" w:rsidRDefault="008E476A">
            <w:pPr>
              <w:spacing w:after="0" w:line="240" w:lineRule="auto"/>
              <w:jc w:val="both"/>
              <w:rPr>
                <w:rFonts w:ascii="Arial" w:hAnsi="Arial"/>
                <w:sz w:val="18"/>
                <w:szCs w:val="18"/>
              </w:rPr>
            </w:pPr>
            <w:r>
              <w:rPr>
                <w:rFonts w:ascii="Arial" w:hAnsi="Arial"/>
                <w:sz w:val="18"/>
                <w:szCs w:val="18"/>
              </w:rPr>
              <w:t>Postęp finansowy</w:t>
            </w:r>
          </w:p>
        </w:tc>
        <w:tc>
          <w:tcPr>
            <w:tcW w:w="7392" w:type="dxa"/>
          </w:tcPr>
          <w:p w14:paraId="5049EF5F" w14:textId="77777777" w:rsidR="000B193C" w:rsidRPr="000B193C" w:rsidRDefault="000B193C" w:rsidP="000B193C">
            <w:pPr>
              <w:spacing w:after="0" w:line="240" w:lineRule="auto"/>
              <w:jc w:val="both"/>
              <w:rPr>
                <w:rFonts w:ascii="Arial" w:hAnsi="Arial"/>
                <w:i/>
                <w:sz w:val="18"/>
                <w:szCs w:val="18"/>
                <w:u w:val="single"/>
              </w:rPr>
            </w:pPr>
            <w:r w:rsidRPr="000B193C">
              <w:rPr>
                <w:rFonts w:ascii="Arial" w:hAnsi="Arial"/>
                <w:i/>
                <w:sz w:val="18"/>
                <w:szCs w:val="18"/>
                <w:u w:val="single"/>
              </w:rPr>
              <w:t>Umowa z 02.11.2017:</w:t>
            </w:r>
          </w:p>
          <w:p w14:paraId="3F70FF15"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 xml:space="preserve">Kwota wydatków kwalifikowanych: </w:t>
            </w:r>
            <w:r w:rsidRPr="000B193C">
              <w:rPr>
                <w:rFonts w:ascii="Arial" w:hAnsi="Arial"/>
                <w:b/>
                <w:i/>
                <w:sz w:val="18"/>
                <w:szCs w:val="18"/>
              </w:rPr>
              <w:t>7 428 588 zł ( w tym środki UE 5 198 011,60 zł)</w:t>
            </w:r>
          </w:p>
          <w:p w14:paraId="6CF6A4DD" w14:textId="77777777" w:rsidR="000B193C" w:rsidRPr="000B193C" w:rsidRDefault="000B193C" w:rsidP="000B193C">
            <w:pPr>
              <w:spacing w:after="0" w:line="240" w:lineRule="auto"/>
              <w:jc w:val="both"/>
              <w:rPr>
                <w:rFonts w:ascii="Arial" w:hAnsi="Arial"/>
                <w:b/>
                <w:i/>
                <w:sz w:val="18"/>
                <w:szCs w:val="18"/>
              </w:rPr>
            </w:pPr>
            <w:r w:rsidRPr="000B193C">
              <w:rPr>
                <w:rFonts w:ascii="Arial" w:hAnsi="Arial"/>
                <w:i/>
                <w:sz w:val="18"/>
                <w:szCs w:val="18"/>
              </w:rPr>
              <w:t xml:space="preserve">Całkowita wartość projektu (wydatki kwalifikowalne+niekwalifikowalne): </w:t>
            </w:r>
            <w:r w:rsidRPr="000B193C">
              <w:rPr>
                <w:rFonts w:ascii="Arial" w:hAnsi="Arial"/>
                <w:b/>
                <w:i/>
                <w:sz w:val="18"/>
                <w:szCs w:val="18"/>
              </w:rPr>
              <w:t>8 136 948,44 zł</w:t>
            </w:r>
          </w:p>
          <w:p w14:paraId="4D1FA320" w14:textId="77777777" w:rsidR="000B193C" w:rsidRPr="000B193C" w:rsidRDefault="000B193C" w:rsidP="000B193C">
            <w:pPr>
              <w:spacing w:after="0" w:line="240" w:lineRule="auto"/>
              <w:jc w:val="both"/>
              <w:rPr>
                <w:rFonts w:ascii="Arial" w:hAnsi="Arial"/>
                <w:i/>
                <w:sz w:val="18"/>
                <w:szCs w:val="18"/>
              </w:rPr>
            </w:pPr>
          </w:p>
          <w:p w14:paraId="51C1F1BE"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 xml:space="preserve">W wyniku nałożonych korekt finansowych dot. zamówień publicznych została pomniejszona wartość wydatków kwalifikowanych zgodnie z zawartym do umowy </w:t>
            </w:r>
            <w:r w:rsidRPr="000B193C">
              <w:rPr>
                <w:rFonts w:ascii="Arial" w:hAnsi="Arial"/>
                <w:i/>
                <w:sz w:val="18"/>
                <w:szCs w:val="18"/>
                <w:u w:val="single"/>
              </w:rPr>
              <w:t>Aneksem 6 z 31.05.2021</w:t>
            </w:r>
            <w:r w:rsidRPr="000B193C">
              <w:rPr>
                <w:rFonts w:ascii="Arial" w:hAnsi="Arial"/>
                <w:i/>
                <w:sz w:val="18"/>
                <w:szCs w:val="18"/>
              </w:rPr>
              <w:t>:</w:t>
            </w:r>
          </w:p>
          <w:p w14:paraId="1863EE2D"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Kwota wydatków kwalifikowanych: 7 281 539,50 zł</w:t>
            </w:r>
          </w:p>
          <w:p w14:paraId="4CB4FA41"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Całkowita wartość projektu (wydatki kwalifikowalne+niekwalifikowalne): 8 136 948,44 zł</w:t>
            </w:r>
          </w:p>
          <w:p w14:paraId="55F17B82" w14:textId="77777777" w:rsidR="000B193C" w:rsidRPr="000B193C" w:rsidRDefault="000B193C" w:rsidP="000B193C">
            <w:pPr>
              <w:spacing w:after="0" w:line="240" w:lineRule="auto"/>
              <w:jc w:val="both"/>
              <w:rPr>
                <w:rFonts w:ascii="Arial" w:hAnsi="Arial"/>
                <w:i/>
                <w:sz w:val="18"/>
                <w:szCs w:val="18"/>
              </w:rPr>
            </w:pPr>
          </w:p>
          <w:p w14:paraId="2C1C19A5" w14:textId="77777777" w:rsidR="000B193C" w:rsidRPr="000B193C" w:rsidRDefault="000B193C" w:rsidP="000B193C">
            <w:pPr>
              <w:spacing w:after="0" w:line="240" w:lineRule="auto"/>
              <w:jc w:val="both"/>
              <w:rPr>
                <w:rFonts w:ascii="Arial" w:hAnsi="Arial"/>
                <w:b/>
                <w:i/>
                <w:sz w:val="18"/>
                <w:szCs w:val="18"/>
              </w:rPr>
            </w:pPr>
            <w:r w:rsidRPr="000B193C">
              <w:rPr>
                <w:rFonts w:ascii="Arial" w:hAnsi="Arial"/>
                <w:b/>
                <w:i/>
                <w:sz w:val="18"/>
                <w:szCs w:val="18"/>
                <w:u w:val="single"/>
              </w:rPr>
              <w:t>Faktyczna realizacja</w:t>
            </w:r>
            <w:r w:rsidRPr="000B193C">
              <w:rPr>
                <w:rFonts w:ascii="Arial" w:hAnsi="Arial"/>
                <w:b/>
                <w:i/>
                <w:sz w:val="18"/>
                <w:szCs w:val="18"/>
              </w:rPr>
              <w:t>:</w:t>
            </w:r>
          </w:p>
          <w:p w14:paraId="4D10AC9A"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 xml:space="preserve">Kwota wydatków kwalifikowanych: </w:t>
            </w:r>
            <w:r w:rsidRPr="000B193C">
              <w:rPr>
                <w:rFonts w:ascii="Arial" w:hAnsi="Arial"/>
                <w:b/>
                <w:i/>
                <w:sz w:val="18"/>
                <w:szCs w:val="18"/>
              </w:rPr>
              <w:t>6 404 617,94 zł</w:t>
            </w:r>
          </w:p>
          <w:p w14:paraId="13BA6BBC"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Całkowita wartość projektu (wydatki kwalifikowalne+niekwalifikowalne): 7 311 737,75 zł</w:t>
            </w:r>
          </w:p>
          <w:p w14:paraId="71C3D254" w14:textId="77777777" w:rsidR="000B193C" w:rsidRPr="000B193C" w:rsidRDefault="000B193C" w:rsidP="000B193C">
            <w:pPr>
              <w:spacing w:after="0" w:line="240" w:lineRule="auto"/>
              <w:jc w:val="both"/>
              <w:rPr>
                <w:rFonts w:ascii="Arial" w:hAnsi="Arial"/>
                <w:i/>
                <w:sz w:val="18"/>
                <w:szCs w:val="18"/>
              </w:rPr>
            </w:pPr>
          </w:p>
          <w:p w14:paraId="0068C1DA" w14:textId="77777777" w:rsidR="000B193C" w:rsidRPr="000B193C" w:rsidRDefault="000B193C" w:rsidP="000B193C">
            <w:pPr>
              <w:spacing w:after="0" w:line="240" w:lineRule="auto"/>
              <w:jc w:val="both"/>
              <w:rPr>
                <w:rFonts w:ascii="Arial" w:hAnsi="Arial"/>
                <w:b/>
                <w:i/>
                <w:sz w:val="18"/>
                <w:szCs w:val="18"/>
              </w:rPr>
            </w:pPr>
            <w:r w:rsidRPr="000B193C">
              <w:rPr>
                <w:rFonts w:ascii="Arial" w:hAnsi="Arial"/>
                <w:b/>
                <w:i/>
                <w:sz w:val="18"/>
                <w:szCs w:val="18"/>
              </w:rPr>
              <w:t>Zakontraktowana wartość dofinansowania: 5 090 077,65 zł</w:t>
            </w:r>
          </w:p>
          <w:p w14:paraId="4DE179DF" w14:textId="77777777" w:rsidR="000B193C" w:rsidRPr="000B193C" w:rsidRDefault="000B193C" w:rsidP="000B193C">
            <w:pPr>
              <w:spacing w:after="0" w:line="240" w:lineRule="auto"/>
              <w:jc w:val="both"/>
              <w:rPr>
                <w:rFonts w:ascii="Arial" w:hAnsi="Arial"/>
                <w:b/>
                <w:i/>
                <w:sz w:val="18"/>
                <w:szCs w:val="18"/>
              </w:rPr>
            </w:pPr>
            <w:r w:rsidRPr="000B193C">
              <w:rPr>
                <w:rFonts w:ascii="Arial" w:hAnsi="Arial"/>
                <w:b/>
                <w:i/>
                <w:sz w:val="18"/>
                <w:szCs w:val="18"/>
              </w:rPr>
              <w:t xml:space="preserve">Osiągnięty poziom certyfikacji w odniesieniu do zakontraktowanej wartości dofinansowania: </w:t>
            </w:r>
            <w:r w:rsidRPr="000B193C">
              <w:rPr>
                <w:rFonts w:ascii="Arial" w:hAnsi="Arial"/>
                <w:i/>
                <w:sz w:val="18"/>
                <w:szCs w:val="18"/>
              </w:rPr>
              <w:t xml:space="preserve">(4 481 999,64 / 5 090 077,65) </w:t>
            </w:r>
            <w:r w:rsidRPr="000B193C">
              <w:rPr>
                <w:rFonts w:ascii="Arial" w:hAnsi="Arial"/>
                <w:b/>
                <w:i/>
                <w:sz w:val="18"/>
                <w:szCs w:val="18"/>
              </w:rPr>
              <w:t>88,05%</w:t>
            </w:r>
          </w:p>
          <w:p w14:paraId="5E0D4A43" w14:textId="77777777" w:rsidR="000B193C" w:rsidRPr="000B193C" w:rsidRDefault="000B193C" w:rsidP="000B193C">
            <w:pPr>
              <w:spacing w:after="0" w:line="240" w:lineRule="auto"/>
              <w:jc w:val="both"/>
              <w:rPr>
                <w:rFonts w:ascii="Arial" w:hAnsi="Arial"/>
                <w:b/>
                <w:i/>
                <w:sz w:val="18"/>
                <w:szCs w:val="18"/>
              </w:rPr>
            </w:pPr>
          </w:p>
          <w:p w14:paraId="3EE6C3EE" w14:textId="77777777" w:rsidR="000B193C" w:rsidRPr="000B193C" w:rsidRDefault="000B193C" w:rsidP="000B193C">
            <w:pPr>
              <w:spacing w:after="0" w:line="240" w:lineRule="auto"/>
              <w:jc w:val="both"/>
              <w:rPr>
                <w:rFonts w:ascii="Arial" w:hAnsi="Arial"/>
                <w:b/>
                <w:i/>
                <w:sz w:val="18"/>
                <w:szCs w:val="18"/>
              </w:rPr>
            </w:pPr>
            <w:r w:rsidRPr="000B193C">
              <w:rPr>
                <w:rFonts w:ascii="Arial" w:hAnsi="Arial"/>
                <w:b/>
                <w:i/>
                <w:sz w:val="18"/>
                <w:szCs w:val="18"/>
              </w:rPr>
              <w:t>Korekty finansowe:</w:t>
            </w:r>
            <w:r w:rsidRPr="000B193C">
              <w:rPr>
                <w:rFonts w:ascii="Arial" w:hAnsi="Arial"/>
                <w:b/>
                <w:i/>
                <w:sz w:val="18"/>
                <w:szCs w:val="18"/>
              </w:rPr>
              <w:softHyphen/>
            </w:r>
            <w:r w:rsidRPr="000B193C">
              <w:rPr>
                <w:rFonts w:ascii="Arial" w:hAnsi="Arial"/>
                <w:b/>
                <w:i/>
                <w:sz w:val="18"/>
                <w:szCs w:val="18"/>
              </w:rPr>
              <w:softHyphen/>
            </w:r>
          </w:p>
          <w:p w14:paraId="35F76843" w14:textId="77777777" w:rsidR="000B193C" w:rsidRPr="000B193C" w:rsidRDefault="000B193C" w:rsidP="000B193C">
            <w:pPr>
              <w:numPr>
                <w:ilvl w:val="0"/>
                <w:numId w:val="5"/>
              </w:numPr>
              <w:spacing w:after="0" w:line="240" w:lineRule="auto"/>
              <w:jc w:val="both"/>
              <w:rPr>
                <w:rFonts w:ascii="Arial" w:hAnsi="Arial"/>
                <w:i/>
                <w:sz w:val="18"/>
                <w:szCs w:val="18"/>
              </w:rPr>
            </w:pPr>
            <w:r w:rsidRPr="000B193C">
              <w:rPr>
                <w:rFonts w:ascii="Arial" w:hAnsi="Arial"/>
                <w:i/>
                <w:sz w:val="18"/>
                <w:szCs w:val="18"/>
              </w:rPr>
              <w:t>Korekta 100% do kontraktu 420/18- ZADANIE 1</w:t>
            </w:r>
          </w:p>
          <w:p w14:paraId="6F67B445"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Zamówienie ZP/NIFC-31/2018 na rozbudowę i serwis środowiska CollectionsIndex+ służącego do zarządzania kolekcją Muzeum Fryderyka Chopina z godnie ze standardem SPECTRUM.</w:t>
            </w:r>
          </w:p>
          <w:p w14:paraId="787BA46A"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Przyczyny nałożenia korekty: naruszenie art. 67 ust. 1 pkt 1 lit. a) i b) ustawy Pzp poprzez bezprawne udzielenie zamówienia z wolnej ręki</w:t>
            </w:r>
          </w:p>
          <w:p w14:paraId="3A5F5F55"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 xml:space="preserve">Wartość korekty: 111077,42 zł </w:t>
            </w:r>
          </w:p>
          <w:p w14:paraId="77D91E36" w14:textId="77777777" w:rsidR="000B193C" w:rsidRPr="000B193C" w:rsidRDefault="000B193C" w:rsidP="000B193C">
            <w:pPr>
              <w:spacing w:after="0" w:line="240" w:lineRule="auto"/>
              <w:jc w:val="both"/>
              <w:rPr>
                <w:rFonts w:ascii="Arial" w:hAnsi="Arial"/>
                <w:i/>
                <w:sz w:val="18"/>
                <w:szCs w:val="18"/>
              </w:rPr>
            </w:pPr>
          </w:p>
          <w:p w14:paraId="5F68F1C1" w14:textId="77777777" w:rsidR="000B193C" w:rsidRPr="000B193C" w:rsidRDefault="000B193C" w:rsidP="000B193C">
            <w:pPr>
              <w:numPr>
                <w:ilvl w:val="0"/>
                <w:numId w:val="5"/>
              </w:numPr>
              <w:spacing w:after="0" w:line="240" w:lineRule="auto"/>
              <w:jc w:val="both"/>
              <w:rPr>
                <w:rFonts w:ascii="Arial" w:hAnsi="Arial"/>
                <w:i/>
                <w:sz w:val="18"/>
                <w:szCs w:val="18"/>
              </w:rPr>
            </w:pPr>
            <w:r w:rsidRPr="000B193C">
              <w:rPr>
                <w:rFonts w:ascii="Arial" w:hAnsi="Arial"/>
                <w:i/>
                <w:sz w:val="18"/>
                <w:szCs w:val="18"/>
              </w:rPr>
              <w:t>Korekta 25% do kontraktu 1208/18- ZADANIE 4</w:t>
            </w:r>
          </w:p>
          <w:p w14:paraId="580F67EE" w14:textId="77777777" w:rsidR="000B193C" w:rsidRPr="000B193C" w:rsidRDefault="000B193C" w:rsidP="000B193C">
            <w:pPr>
              <w:spacing w:after="0" w:line="240" w:lineRule="auto"/>
              <w:jc w:val="both"/>
              <w:rPr>
                <w:rFonts w:ascii="Arial" w:hAnsi="Arial"/>
                <w:i/>
                <w:sz w:val="18"/>
                <w:szCs w:val="18"/>
              </w:rPr>
            </w:pPr>
          </w:p>
          <w:p w14:paraId="62130819"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Zamówienie ZP/NIFC-31/2018 na świadczenie usług w zakresie planowania koordynacji i nadzoru nad realizacją digitalizacji i opracowania obiektów muzealnych realizowanego w ramach dofinasowania z Programu Operacyjnego Polska Cyfrowa</w:t>
            </w:r>
          </w:p>
          <w:p w14:paraId="0F2AA3D7"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Przyczyny nałożenia korekty: naruszenie art. 7 ust.1 w zw. Z art. 91 ust.2 ustawy Pzp art. 7 ust.1 ustawy Pzp polegające na określeniu kryteriów oceny ofert w sposób, który mógłby utrudniać uczciwą konkurencję oraz niezapewnienia równego traktowania wykonawców</w:t>
            </w:r>
          </w:p>
          <w:p w14:paraId="71DC3323"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Wartość korekty: 31308,78 zł</w:t>
            </w:r>
          </w:p>
          <w:p w14:paraId="27A2C339" w14:textId="77777777" w:rsidR="000B193C" w:rsidRPr="000B193C" w:rsidRDefault="000B193C" w:rsidP="000B193C">
            <w:pPr>
              <w:spacing w:after="0" w:line="240" w:lineRule="auto"/>
              <w:jc w:val="both"/>
              <w:rPr>
                <w:rFonts w:ascii="Arial" w:hAnsi="Arial"/>
                <w:i/>
                <w:sz w:val="18"/>
                <w:szCs w:val="18"/>
              </w:rPr>
            </w:pPr>
          </w:p>
          <w:p w14:paraId="2A281EC6" w14:textId="77777777" w:rsidR="000B193C" w:rsidRPr="000B193C" w:rsidRDefault="000B193C" w:rsidP="000B193C">
            <w:pPr>
              <w:numPr>
                <w:ilvl w:val="0"/>
                <w:numId w:val="5"/>
              </w:numPr>
              <w:spacing w:after="0" w:line="240" w:lineRule="auto"/>
              <w:jc w:val="both"/>
              <w:rPr>
                <w:rFonts w:ascii="Arial" w:hAnsi="Arial"/>
                <w:i/>
                <w:sz w:val="18"/>
                <w:szCs w:val="18"/>
              </w:rPr>
            </w:pPr>
            <w:r w:rsidRPr="000B193C">
              <w:rPr>
                <w:rFonts w:ascii="Arial" w:hAnsi="Arial"/>
                <w:i/>
                <w:sz w:val="18"/>
                <w:szCs w:val="18"/>
              </w:rPr>
              <w:t xml:space="preserve">Korekta 5% do kontraktów 361/18, 362/18, 363/18, 364/18, 365/18, 366/18, 367/18, 368/18, 369/18 - ZADANIE 6 </w:t>
            </w:r>
          </w:p>
          <w:p w14:paraId="60316D31"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Zamówienie ZP/NIFC-9/2018 na opracowanie i redakcję cyfrowych źródłowych edycji nutowych z aparatem krytycznym, utrzymanych w formacie cyfrowej symbolicznej notacji nutowej humdrum, opartych na pierwodrukach kompozycji Fryderyka Chopina – 8 części</w:t>
            </w:r>
          </w:p>
          <w:p w14:paraId="6336D3C7"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Przyczyny nałożenia korekty: naruszenie art. 41 ust. 7 i 7a ustawy Pzp oraz art. 36 ust. 1 pkt 5, 5a, 6 ustawy Pzp</w:t>
            </w:r>
          </w:p>
          <w:p w14:paraId="49677779"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Wartość korekty: 4662,30 zł</w:t>
            </w:r>
          </w:p>
          <w:p w14:paraId="215F324D" w14:textId="77777777" w:rsidR="000B193C" w:rsidRPr="000B193C" w:rsidRDefault="000B193C" w:rsidP="000B193C">
            <w:pPr>
              <w:spacing w:after="0" w:line="240" w:lineRule="auto"/>
              <w:jc w:val="both"/>
              <w:rPr>
                <w:rFonts w:ascii="Arial" w:hAnsi="Arial"/>
                <w:i/>
                <w:sz w:val="18"/>
                <w:szCs w:val="18"/>
              </w:rPr>
            </w:pPr>
          </w:p>
          <w:p w14:paraId="5C19898A" w14:textId="77777777" w:rsidR="000B193C" w:rsidRPr="000B193C" w:rsidRDefault="000B193C" w:rsidP="000B193C">
            <w:pPr>
              <w:numPr>
                <w:ilvl w:val="0"/>
                <w:numId w:val="5"/>
              </w:numPr>
              <w:spacing w:after="0" w:line="240" w:lineRule="auto"/>
              <w:jc w:val="both"/>
              <w:rPr>
                <w:rFonts w:ascii="Arial" w:hAnsi="Arial"/>
                <w:i/>
                <w:sz w:val="18"/>
                <w:szCs w:val="18"/>
              </w:rPr>
            </w:pPr>
            <w:r w:rsidRPr="000B193C">
              <w:rPr>
                <w:rFonts w:ascii="Arial" w:hAnsi="Arial"/>
                <w:i/>
                <w:sz w:val="18"/>
                <w:szCs w:val="18"/>
              </w:rPr>
              <w:t>Korekta 5% do kontraktu 394/2017 – ZADANIE 4 i 5 (pismo CPPC z dn. 17.06.2021)</w:t>
            </w:r>
          </w:p>
          <w:p w14:paraId="5ABE5D9B"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 xml:space="preserve">Zamówienie ZP/NIFC-20/2017 na rezerwację i sprzedaż biletów lotniczych na loty rejsowe, czarterowe krajowe oraz zagraniczne dla potrzeb przedsięwzięć i wydarzeń kulturalnych oraz artystycznych i podróży służbowych organizowanych przez Narodowy Instytut Fryderyka Chopina </w:t>
            </w:r>
          </w:p>
          <w:p w14:paraId="5419E16B"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Przyczyny nałożenia korekty: naruszenie art. 24 ust. 4 i ustawy Pzp oraz art. 89 ust. 1 pkt 5 ustawy Pzp</w:t>
            </w:r>
          </w:p>
          <w:p w14:paraId="7FE9A51A" w14:textId="77777777" w:rsidR="000B193C" w:rsidRPr="000B193C" w:rsidRDefault="000B193C" w:rsidP="000B193C">
            <w:pPr>
              <w:spacing w:after="0" w:line="240" w:lineRule="auto"/>
              <w:jc w:val="both"/>
              <w:rPr>
                <w:rFonts w:ascii="Arial" w:hAnsi="Arial"/>
                <w:i/>
                <w:sz w:val="18"/>
                <w:szCs w:val="18"/>
              </w:rPr>
            </w:pPr>
            <w:r w:rsidRPr="000B193C">
              <w:rPr>
                <w:rFonts w:ascii="Arial" w:hAnsi="Arial"/>
                <w:i/>
                <w:sz w:val="18"/>
                <w:szCs w:val="18"/>
              </w:rPr>
              <w:t>Wartość korekty: 933,56 zł</w:t>
            </w:r>
          </w:p>
          <w:p w14:paraId="416FD17A" w14:textId="36DA4026" w:rsidR="000B193C" w:rsidRPr="000B193C" w:rsidRDefault="000B193C" w:rsidP="000B193C">
            <w:pPr>
              <w:pStyle w:val="Akapitzlist"/>
              <w:numPr>
                <w:ilvl w:val="0"/>
                <w:numId w:val="5"/>
              </w:numPr>
              <w:spacing w:after="0" w:line="240" w:lineRule="auto"/>
              <w:jc w:val="both"/>
              <w:rPr>
                <w:rFonts w:ascii="Arial" w:hAnsi="Arial"/>
                <w:i/>
                <w:sz w:val="18"/>
                <w:szCs w:val="18"/>
              </w:rPr>
            </w:pPr>
            <w:r w:rsidRPr="000B193C">
              <w:rPr>
                <w:rFonts w:ascii="Arial" w:hAnsi="Arial"/>
                <w:i/>
                <w:sz w:val="18"/>
                <w:szCs w:val="18"/>
              </w:rPr>
              <w:t>Korekta 25% do kontraktu 530/2019 – ZADANIE 3 (pismo CPPC z dn. 19.07.2021)</w:t>
            </w:r>
          </w:p>
          <w:p w14:paraId="79C4190C" w14:textId="77777777" w:rsidR="000B193C" w:rsidRPr="000B193C" w:rsidRDefault="000B193C" w:rsidP="000B193C">
            <w:pPr>
              <w:pStyle w:val="Akapitzlist"/>
              <w:spacing w:after="0" w:line="240" w:lineRule="auto"/>
              <w:ind w:left="360"/>
              <w:jc w:val="both"/>
              <w:rPr>
                <w:rFonts w:ascii="Arial" w:hAnsi="Arial"/>
                <w:i/>
                <w:sz w:val="18"/>
                <w:szCs w:val="18"/>
              </w:rPr>
            </w:pPr>
            <w:r w:rsidRPr="000B193C">
              <w:rPr>
                <w:rFonts w:ascii="Arial" w:hAnsi="Arial"/>
                <w:i/>
                <w:sz w:val="18"/>
                <w:szCs w:val="18"/>
              </w:rPr>
              <w:t xml:space="preserve">Zamówienie ZP/NIFC 34/2019 na Digitalizację unikatowej części dziedzictwa Chopinowskiego znajdującego się w zbiorach biblioteki Narodowego Instytutu Fryderyka Chopina – 2 części” </w:t>
            </w:r>
          </w:p>
          <w:p w14:paraId="7301D87E" w14:textId="77777777" w:rsidR="000B193C" w:rsidRPr="000B193C" w:rsidRDefault="000B193C" w:rsidP="000B193C">
            <w:pPr>
              <w:pStyle w:val="Akapitzlist"/>
              <w:spacing w:after="0" w:line="240" w:lineRule="auto"/>
              <w:ind w:left="360"/>
              <w:jc w:val="both"/>
              <w:rPr>
                <w:rFonts w:ascii="Arial" w:hAnsi="Arial"/>
                <w:i/>
                <w:sz w:val="18"/>
                <w:szCs w:val="18"/>
              </w:rPr>
            </w:pPr>
            <w:r w:rsidRPr="000B193C">
              <w:rPr>
                <w:rFonts w:ascii="Arial" w:hAnsi="Arial"/>
                <w:i/>
                <w:sz w:val="18"/>
                <w:szCs w:val="18"/>
              </w:rPr>
              <w:lastRenderedPageBreak/>
              <w:t>Przyczyny nałożenia korekty: naruszenie art. 41 pkt  9 i ustawy Pzp Wartość korekty: 31 312,50 zł</w:t>
            </w:r>
          </w:p>
          <w:p w14:paraId="09D54DB8" w14:textId="01F287A1" w:rsidR="00C01D25" w:rsidRPr="000B193C" w:rsidRDefault="00C01D25">
            <w:pPr>
              <w:spacing w:after="0" w:line="240" w:lineRule="auto"/>
              <w:jc w:val="both"/>
              <w:rPr>
                <w:rFonts w:ascii="Arial" w:hAnsi="Arial"/>
                <w:i/>
                <w:sz w:val="18"/>
                <w:szCs w:val="18"/>
              </w:rPr>
            </w:pPr>
          </w:p>
        </w:tc>
      </w:tr>
      <w:tr w:rsidR="00C01D25" w14:paraId="2B364D92" w14:textId="77777777">
        <w:trPr>
          <w:trHeight w:val="3813"/>
        </w:trPr>
        <w:tc>
          <w:tcPr>
            <w:tcW w:w="485" w:type="dxa"/>
          </w:tcPr>
          <w:p w14:paraId="18F258A5" w14:textId="77777777" w:rsidR="00C01D25" w:rsidRDefault="00C01D25">
            <w:pPr>
              <w:pStyle w:val="Akapitzlist"/>
              <w:numPr>
                <w:ilvl w:val="0"/>
                <w:numId w:val="1"/>
              </w:numPr>
              <w:spacing w:after="0" w:line="240" w:lineRule="auto"/>
              <w:rPr>
                <w:rFonts w:ascii="Arial" w:hAnsi="Arial"/>
                <w:sz w:val="18"/>
                <w:szCs w:val="18"/>
              </w:rPr>
            </w:pPr>
          </w:p>
        </w:tc>
        <w:tc>
          <w:tcPr>
            <w:tcW w:w="1757" w:type="dxa"/>
          </w:tcPr>
          <w:p w14:paraId="243F6B57" w14:textId="77777777" w:rsidR="00C01D25" w:rsidRDefault="008E476A">
            <w:pPr>
              <w:spacing w:after="0" w:line="240" w:lineRule="auto"/>
              <w:rPr>
                <w:rFonts w:ascii="Arial" w:hAnsi="Arial"/>
                <w:sz w:val="18"/>
                <w:szCs w:val="18"/>
              </w:rPr>
            </w:pPr>
            <w:r>
              <w:rPr>
                <w:rFonts w:ascii="Arial" w:hAnsi="Arial"/>
                <w:sz w:val="18"/>
                <w:szCs w:val="18"/>
              </w:rPr>
              <w:t>Postęp rzeczowy</w:t>
            </w:r>
          </w:p>
        </w:tc>
        <w:tc>
          <w:tcPr>
            <w:tcW w:w="7392" w:type="dxa"/>
          </w:tcPr>
          <w:p w14:paraId="3005A154" w14:textId="77777777" w:rsidR="00C01D25" w:rsidRDefault="008E476A">
            <w:pPr>
              <w:widowControl w:val="0"/>
              <w:suppressAutoHyphens w:val="0"/>
              <w:spacing w:after="0" w:line="240" w:lineRule="auto"/>
              <w:rPr>
                <w:rFonts w:ascii="Calibri" w:eastAsia="Calibri" w:hAnsi="Calibri" w:cs="Calibri"/>
                <w:sz w:val="18"/>
                <w:szCs w:val="18"/>
              </w:rPr>
            </w:pPr>
            <w:r>
              <w:rPr>
                <w:rFonts w:eastAsia="Calibri" w:cs="Calibri"/>
                <w:bCs/>
                <w:color w:val="000000"/>
                <w:sz w:val="18"/>
                <w:szCs w:val="18"/>
              </w:rPr>
              <w:t xml:space="preserve">Pierwotna planowana data rozpoczęcia realizacji projektu: 2018-01-02 </w:t>
            </w:r>
          </w:p>
          <w:p w14:paraId="630ADA3F" w14:textId="77777777" w:rsidR="00C01D25" w:rsidRDefault="008E476A">
            <w:pPr>
              <w:widowControl w:val="0"/>
              <w:suppressAutoHyphens w:val="0"/>
              <w:spacing w:after="0" w:line="240" w:lineRule="auto"/>
              <w:rPr>
                <w:rFonts w:ascii="Calibri" w:eastAsia="Calibri" w:hAnsi="Calibri" w:cs="Calibri"/>
                <w:sz w:val="18"/>
                <w:szCs w:val="18"/>
              </w:rPr>
            </w:pPr>
            <w:r>
              <w:rPr>
                <w:rFonts w:eastAsia="Calibri" w:cs="Calibri"/>
                <w:bCs/>
                <w:color w:val="000000"/>
                <w:sz w:val="18"/>
                <w:szCs w:val="18"/>
              </w:rPr>
              <w:t>Ostatnia planowana data rozpoczęcia realizacji projektu: 2017-11-02</w:t>
            </w:r>
          </w:p>
          <w:p w14:paraId="32638EB6" w14:textId="77777777" w:rsidR="00C01D25" w:rsidRDefault="008E476A">
            <w:pPr>
              <w:widowControl w:val="0"/>
              <w:suppressAutoHyphens w:val="0"/>
              <w:spacing w:after="0" w:line="240" w:lineRule="auto"/>
              <w:rPr>
                <w:rFonts w:ascii="Calibri" w:eastAsia="Calibri" w:hAnsi="Calibri" w:cs="Calibri"/>
                <w:sz w:val="18"/>
                <w:szCs w:val="18"/>
              </w:rPr>
            </w:pPr>
            <w:r>
              <w:rPr>
                <w:rFonts w:eastAsia="Calibri" w:cs="Calibri"/>
                <w:b/>
                <w:bCs/>
                <w:color w:val="000000"/>
                <w:sz w:val="18"/>
                <w:szCs w:val="18"/>
              </w:rPr>
              <w:t xml:space="preserve">Faktyczna data rozpoczęcia realizacji projektu: </w:t>
            </w:r>
            <w:r>
              <w:rPr>
                <w:rFonts w:eastAsia="Calibri" w:cs="Calibri"/>
                <w:bCs/>
                <w:color w:val="000000"/>
                <w:sz w:val="18"/>
                <w:szCs w:val="18"/>
              </w:rPr>
              <w:t>2017-11-02</w:t>
            </w:r>
          </w:p>
          <w:p w14:paraId="30669E35" w14:textId="77777777" w:rsidR="00C01D25" w:rsidRDefault="008E476A">
            <w:pPr>
              <w:widowControl w:val="0"/>
              <w:suppressAutoHyphens w:val="0"/>
              <w:spacing w:after="0" w:line="240" w:lineRule="auto"/>
              <w:rPr>
                <w:rFonts w:ascii="Calibri" w:eastAsia="Calibri" w:hAnsi="Calibri" w:cs="Calibri"/>
                <w:sz w:val="18"/>
                <w:szCs w:val="18"/>
              </w:rPr>
            </w:pPr>
            <w:r>
              <w:rPr>
                <w:rFonts w:eastAsia="Calibri" w:cs="Calibri"/>
                <w:bCs/>
                <w:color w:val="000000"/>
                <w:sz w:val="18"/>
                <w:szCs w:val="18"/>
              </w:rPr>
              <w:t>Pierwotna planowana data zakończenia realizacji projektu: 2020-10-31</w:t>
            </w:r>
          </w:p>
          <w:p w14:paraId="6BD012AB" w14:textId="77777777" w:rsidR="00C01D25" w:rsidRDefault="008E476A">
            <w:pPr>
              <w:widowControl w:val="0"/>
              <w:suppressAutoHyphens w:val="0"/>
              <w:spacing w:after="0" w:line="240" w:lineRule="auto"/>
              <w:rPr>
                <w:rFonts w:ascii="Calibri" w:eastAsia="Calibri" w:hAnsi="Calibri" w:cs="Calibri"/>
                <w:sz w:val="18"/>
                <w:szCs w:val="18"/>
              </w:rPr>
            </w:pPr>
            <w:r>
              <w:rPr>
                <w:rFonts w:eastAsia="Calibri" w:cs="Calibri"/>
                <w:bCs/>
                <w:color w:val="000000"/>
                <w:sz w:val="18"/>
                <w:szCs w:val="18"/>
              </w:rPr>
              <w:t>Ostatnia planowana data zakończenia realizacji projektu: 2021-05-31</w:t>
            </w:r>
          </w:p>
          <w:p w14:paraId="28692BE6" w14:textId="77777777" w:rsidR="00C01D25" w:rsidRDefault="008E476A">
            <w:pPr>
              <w:widowControl w:val="0"/>
              <w:suppressAutoHyphens w:val="0"/>
              <w:spacing w:after="0" w:line="240" w:lineRule="auto"/>
              <w:rPr>
                <w:rFonts w:ascii="Calibri" w:eastAsia="Calibri" w:hAnsi="Calibri" w:cs="Calibri"/>
                <w:sz w:val="18"/>
                <w:szCs w:val="18"/>
              </w:rPr>
            </w:pPr>
            <w:r>
              <w:rPr>
                <w:rFonts w:eastAsia="Calibri" w:cs="Calibri"/>
                <w:b/>
                <w:bCs/>
                <w:color w:val="000000"/>
                <w:sz w:val="18"/>
                <w:szCs w:val="18"/>
              </w:rPr>
              <w:t xml:space="preserve">Faktyczna data zakończenia realizacji projektu: </w:t>
            </w:r>
            <w:r>
              <w:rPr>
                <w:rFonts w:eastAsia="Calibri" w:cs="Calibri"/>
                <w:bCs/>
                <w:color w:val="000000"/>
                <w:sz w:val="18"/>
                <w:szCs w:val="18"/>
              </w:rPr>
              <w:t>2021-05-31</w:t>
            </w:r>
          </w:p>
          <w:p w14:paraId="65C5E11B" w14:textId="77777777" w:rsidR="00C01D25" w:rsidRDefault="00C01D25">
            <w:pPr>
              <w:widowControl w:val="0"/>
              <w:suppressAutoHyphens w:val="0"/>
              <w:spacing w:after="0" w:line="240" w:lineRule="auto"/>
              <w:rPr>
                <w:rFonts w:ascii="Calibri" w:eastAsia="Calibri" w:hAnsi="Calibri" w:cs="Calibri"/>
                <w:color w:val="000000"/>
                <w:sz w:val="18"/>
                <w:szCs w:val="18"/>
              </w:rPr>
            </w:pPr>
          </w:p>
          <w:p w14:paraId="7359BEBE" w14:textId="77777777" w:rsidR="00C01D25" w:rsidRDefault="008E476A">
            <w:pPr>
              <w:pStyle w:val="Other0"/>
              <w:rPr>
                <w:b/>
                <w:bCs/>
                <w:color w:val="000000"/>
              </w:rPr>
            </w:pPr>
            <w:r>
              <w:rPr>
                <w:b/>
                <w:bCs/>
                <w:color w:val="000000"/>
              </w:rPr>
              <w:t xml:space="preserve">Przyczyną zmiany terminu zakończenia realizacji projektu w stosunku do pierwotnego planu jest: </w:t>
            </w:r>
            <w:r>
              <w:rPr>
                <w:color w:val="000000"/>
              </w:rPr>
              <w:t xml:space="preserve">Opóźnienie spowodowane sytuacją pandemiczną w 2020 roku. </w:t>
            </w:r>
            <w:r>
              <w:rPr>
                <w:bCs/>
                <w:color w:val="000000"/>
              </w:rPr>
              <w:t>Z uwagi na konieczność pracy zdalnej a także pracy w warunkach obostrzeń sanitarnych konieczne było przesunięcie daty zakończenia projektu. Niemożliwa była m.in. przez pewien czas praca z obiektami oryginalnymi (z uwagi na procedury bezpieczeństwa wymagające jednoczesnej obecności co najmniej kilku osób). Część opóźnień spowodowana była zachorowaniami wśród pracowników Instytutu a także wśród wykonawców zewnętrznych. Wdrożono za zgodą CPPC plan naprawczy, który pozwolił na pełną realizację projektu w nowym terminie.</w:t>
            </w:r>
          </w:p>
          <w:p w14:paraId="54F77B7A" w14:textId="77777777" w:rsidR="00C01D25" w:rsidRDefault="00C01D25">
            <w:pPr>
              <w:spacing w:after="0" w:line="240" w:lineRule="auto"/>
              <w:jc w:val="both"/>
              <w:rPr>
                <w:rFonts w:ascii="Arial" w:hAnsi="Arial"/>
                <w:sz w:val="18"/>
                <w:szCs w:val="18"/>
              </w:rPr>
            </w:pPr>
          </w:p>
          <w:p w14:paraId="3548EC49" w14:textId="77777777" w:rsidR="00C01D25" w:rsidRDefault="008E476A">
            <w:pPr>
              <w:spacing w:after="0" w:line="240" w:lineRule="auto"/>
              <w:jc w:val="both"/>
              <w:rPr>
                <w:rFonts w:ascii="Arial" w:hAnsi="Arial"/>
                <w:sz w:val="18"/>
                <w:szCs w:val="18"/>
              </w:rPr>
            </w:pPr>
            <w:r>
              <w:rPr>
                <w:rFonts w:ascii="Arial" w:hAnsi="Arial"/>
                <w:sz w:val="18"/>
                <w:szCs w:val="18"/>
              </w:rPr>
              <w:t>W opisie zadań podano aktualną datę planowaną na podstawie ostatniej wersji umowy [A] oraz rzeczywistą datę realizacji [R].</w:t>
            </w:r>
          </w:p>
          <w:p w14:paraId="499D74C0" w14:textId="77777777" w:rsidR="00C01D25" w:rsidRDefault="00C01D25">
            <w:pPr>
              <w:spacing w:after="0" w:line="240" w:lineRule="auto"/>
              <w:jc w:val="both"/>
              <w:rPr>
                <w:rFonts w:ascii="Arial" w:hAnsi="Arial"/>
                <w:sz w:val="18"/>
                <w:szCs w:val="18"/>
              </w:rPr>
            </w:pPr>
          </w:p>
          <w:p w14:paraId="3894C77C" w14:textId="77777777" w:rsidR="00C01D25" w:rsidRDefault="008E476A">
            <w:pPr>
              <w:spacing w:after="0" w:line="240" w:lineRule="auto"/>
              <w:jc w:val="both"/>
              <w:rPr>
                <w:rFonts w:ascii="Arial" w:hAnsi="Arial"/>
                <w:sz w:val="18"/>
                <w:szCs w:val="18"/>
              </w:rPr>
            </w:pPr>
            <w:r>
              <w:rPr>
                <w:rFonts w:ascii="Arial" w:hAnsi="Arial"/>
                <w:sz w:val="18"/>
                <w:szCs w:val="18"/>
              </w:rPr>
              <w:t>Zadanie 1 „Zakup, wdrożenie i scalenie oprogramowania systemu zarządzania kolekcją, zakupy sprzętu fotograficznego, sprzętu do digitalizacji obiektów bibliotecznych, zakup sprzętu do przechowywania zdigitalizowanych zasobów kultury, stworzenie stanowisk pracy dla osób zatrudnionych celem wprowadzania metadanych”. Zadanie zakończone i zrealizowane. Zrezygnowano z zakupu części modułów, które nie były niezbędne do osiągnięcia pełnej funkcjonalności systemu. Planowany termin realizacji zadania A: 05-2021, R: 05-2021</w:t>
            </w:r>
          </w:p>
          <w:p w14:paraId="3EB5C2CE" w14:textId="77777777" w:rsidR="00C01D25" w:rsidRDefault="00C01D25">
            <w:pPr>
              <w:spacing w:after="0" w:line="240" w:lineRule="auto"/>
              <w:jc w:val="both"/>
              <w:rPr>
                <w:rFonts w:ascii="Arial" w:hAnsi="Arial"/>
                <w:sz w:val="18"/>
                <w:szCs w:val="18"/>
              </w:rPr>
            </w:pPr>
          </w:p>
          <w:p w14:paraId="5DFF1BBF" w14:textId="77777777" w:rsidR="00C01D25" w:rsidRDefault="008E476A">
            <w:pPr>
              <w:spacing w:after="0" w:line="240" w:lineRule="auto"/>
              <w:jc w:val="both"/>
              <w:rPr>
                <w:rFonts w:ascii="Arial" w:hAnsi="Arial"/>
                <w:sz w:val="18"/>
                <w:szCs w:val="18"/>
              </w:rPr>
            </w:pPr>
            <w:r>
              <w:rPr>
                <w:rFonts w:ascii="Arial" w:hAnsi="Arial"/>
                <w:sz w:val="18"/>
                <w:szCs w:val="18"/>
              </w:rPr>
              <w:t>Zadanie 2 „Przeprowadzenie konserwacji obiektów muzealnych wraz z transportem”. Zadanie zakończone i zrealizowane zgodnie z założeniami. A: 09-2018, R: 10-2018</w:t>
            </w:r>
          </w:p>
          <w:p w14:paraId="1ED85018" w14:textId="77777777" w:rsidR="00C01D25" w:rsidRDefault="00C01D25">
            <w:pPr>
              <w:spacing w:after="0" w:line="240" w:lineRule="auto"/>
              <w:jc w:val="both"/>
              <w:rPr>
                <w:rFonts w:ascii="Arial" w:hAnsi="Arial"/>
                <w:sz w:val="18"/>
                <w:szCs w:val="18"/>
              </w:rPr>
            </w:pPr>
          </w:p>
          <w:p w14:paraId="6B857D29" w14:textId="77777777" w:rsidR="00C01D25" w:rsidRDefault="008E476A">
            <w:pPr>
              <w:spacing w:after="0" w:line="240" w:lineRule="auto"/>
              <w:jc w:val="both"/>
              <w:rPr>
                <w:rFonts w:ascii="Arial" w:hAnsi="Arial"/>
                <w:sz w:val="18"/>
                <w:szCs w:val="18"/>
              </w:rPr>
            </w:pPr>
            <w:r>
              <w:rPr>
                <w:rFonts w:ascii="Arial" w:hAnsi="Arial"/>
                <w:sz w:val="18"/>
                <w:szCs w:val="18"/>
              </w:rPr>
              <w:t>Zadanie 3 „Fotografowanie obiektów muzealnych w siedzibie Muzeum Fryderyka Chopina oraz w atelier zewnętrznym, skanowanie obiektów ze zbiorów biblioteki NIFC”. Zadanie zakończone i zrealizowane zgodnie z założeniami. A: 06-2020, R: 09-2020</w:t>
            </w:r>
          </w:p>
          <w:p w14:paraId="7B1F82EE" w14:textId="77777777" w:rsidR="00C01D25" w:rsidRDefault="00C01D25">
            <w:pPr>
              <w:spacing w:after="0" w:line="240" w:lineRule="auto"/>
              <w:jc w:val="both"/>
              <w:rPr>
                <w:rFonts w:ascii="Arial" w:hAnsi="Arial"/>
                <w:sz w:val="18"/>
                <w:szCs w:val="18"/>
              </w:rPr>
            </w:pPr>
          </w:p>
          <w:p w14:paraId="02EEDA2D" w14:textId="77777777" w:rsidR="00C01D25" w:rsidRDefault="008E476A">
            <w:pPr>
              <w:spacing w:after="0" w:line="240" w:lineRule="auto"/>
              <w:jc w:val="both"/>
              <w:rPr>
                <w:rFonts w:ascii="Arial" w:hAnsi="Arial"/>
                <w:sz w:val="18"/>
                <w:szCs w:val="18"/>
              </w:rPr>
            </w:pPr>
            <w:r>
              <w:rPr>
                <w:rFonts w:ascii="Arial" w:hAnsi="Arial"/>
                <w:sz w:val="18"/>
                <w:szCs w:val="18"/>
              </w:rPr>
              <w:t>Zadanie 4 „Retrokonwersja danych dotyczących obiektów muzealnych z nośników  analogowych (dokumentacja, kartoteka osób i miejsc), stworzenie kompletu metadanych dla obiektów, wprowadzenie metadanych dla obiektów poddanych digitalizacji”. Zadanie zakończone i zrealizowane zgodnie z założeniami. Zrezygnowano z części delegacji zagranicznych z uwagi na sytuację pandemiczną. A: 04-2021, R: 04-2021</w:t>
            </w:r>
          </w:p>
          <w:p w14:paraId="2034B19D" w14:textId="77777777" w:rsidR="00C01D25" w:rsidRDefault="00C01D25">
            <w:pPr>
              <w:spacing w:after="0" w:line="240" w:lineRule="auto"/>
              <w:jc w:val="both"/>
              <w:rPr>
                <w:rFonts w:ascii="Arial" w:hAnsi="Arial"/>
                <w:sz w:val="18"/>
                <w:szCs w:val="18"/>
              </w:rPr>
            </w:pPr>
          </w:p>
          <w:p w14:paraId="208E8F88" w14:textId="77777777" w:rsidR="00C01D25" w:rsidRDefault="008E476A">
            <w:pPr>
              <w:spacing w:after="0" w:line="240" w:lineRule="auto"/>
              <w:jc w:val="both"/>
              <w:rPr>
                <w:rFonts w:ascii="Arial" w:hAnsi="Arial"/>
                <w:sz w:val="18"/>
                <w:szCs w:val="18"/>
              </w:rPr>
            </w:pPr>
            <w:r>
              <w:rPr>
                <w:rFonts w:ascii="Arial" w:hAnsi="Arial"/>
                <w:sz w:val="18"/>
                <w:szCs w:val="18"/>
              </w:rPr>
              <w:t>Zadanie 5 „Wdrożenie standardu metadanych Dublin Core (DCMI), składu, edycji oraz korekty zapisów muzycznych, delegacje zagraniczne osób koordynujących prace nad składami oraz modułami wyszukiwania, analizy i wizualizacji dzieł muzycznych, kwerendy zagraniczne”. Zadanie zakończone i zrealizowane zgodnie z założeniami. Zrezygnowano z części delegacji zagranicznych z uwagi na pandemię, jednak dzięki wykorzystaniu narzędzi komunikacji zdalnej przeprowadzono niezbędne zaplanowane konsultacje. A: 03-2020, R: 03-2020</w:t>
            </w:r>
          </w:p>
          <w:p w14:paraId="1825276E" w14:textId="77777777" w:rsidR="00C01D25" w:rsidRDefault="00C01D25">
            <w:pPr>
              <w:spacing w:after="0" w:line="240" w:lineRule="auto"/>
              <w:jc w:val="both"/>
              <w:rPr>
                <w:rFonts w:ascii="Arial" w:hAnsi="Arial"/>
                <w:sz w:val="18"/>
                <w:szCs w:val="18"/>
              </w:rPr>
            </w:pPr>
          </w:p>
          <w:p w14:paraId="64666453" w14:textId="77777777" w:rsidR="00C01D25" w:rsidRDefault="008E476A">
            <w:pPr>
              <w:spacing w:after="0" w:line="240" w:lineRule="auto"/>
              <w:jc w:val="both"/>
              <w:rPr>
                <w:rFonts w:ascii="Arial" w:hAnsi="Arial"/>
                <w:sz w:val="18"/>
                <w:szCs w:val="18"/>
              </w:rPr>
            </w:pPr>
            <w:r>
              <w:rPr>
                <w:rFonts w:ascii="Arial" w:hAnsi="Arial"/>
                <w:sz w:val="18"/>
                <w:szCs w:val="18"/>
              </w:rPr>
              <w:t>Zadanie 6 „Transkrypcja zapisów nutowych, edycja, korekty, konwersja pomiędzy formatem music-xml i humdrum”. Zadanie zakończone i zrealizowane zgodnie z założeniami. Dla kompletu utworów Chopina wykonano transkrypcje w wersjach opartych na różnych źródłach. Uruchomiono system wyszukiwarki muzycznej oraz analizy i porównywania wersji. A: 03-2021, R: 12-2020</w:t>
            </w:r>
          </w:p>
          <w:p w14:paraId="4723BB4A" w14:textId="77777777" w:rsidR="00C01D25" w:rsidRDefault="00C01D25">
            <w:pPr>
              <w:spacing w:after="0" w:line="240" w:lineRule="auto"/>
              <w:jc w:val="both"/>
              <w:rPr>
                <w:rFonts w:ascii="Arial" w:hAnsi="Arial"/>
                <w:sz w:val="18"/>
                <w:szCs w:val="18"/>
              </w:rPr>
            </w:pPr>
          </w:p>
          <w:p w14:paraId="40D4D861" w14:textId="77777777" w:rsidR="00C01D25" w:rsidRDefault="008E476A">
            <w:pPr>
              <w:spacing w:after="0" w:line="240" w:lineRule="auto"/>
              <w:jc w:val="both"/>
            </w:pPr>
            <w:r>
              <w:rPr>
                <w:rFonts w:ascii="Arial" w:hAnsi="Arial"/>
                <w:sz w:val="18"/>
                <w:szCs w:val="18"/>
              </w:rPr>
              <w:t xml:space="preserve">Zadanie 7 „Stworzenie platformy multimedialnej, na której będą prezentowane zdigitalizowane zasoby kultury”. Uruchomiono platformę </w:t>
            </w:r>
            <w:hyperlink r:id="rId6">
              <w:r>
                <w:rPr>
                  <w:rStyle w:val="czeinternetowe"/>
                  <w:rFonts w:ascii="Arial" w:hAnsi="Arial"/>
                  <w:sz w:val="18"/>
                  <w:szCs w:val="18"/>
                </w:rPr>
                <w:t>https://chopin.musicsources.pl/pl</w:t>
              </w:r>
            </w:hyperlink>
            <w:r>
              <w:rPr>
                <w:rFonts w:ascii="Arial" w:hAnsi="Arial"/>
                <w:sz w:val="18"/>
                <w:szCs w:val="18"/>
              </w:rPr>
              <w:t xml:space="preserve"> na której prezentowane są treści. Utworzono repozytorium wewnętrzne, w którym przechowywane są oryginalne pliki. A: 04-2021, R: 05-2021</w:t>
            </w:r>
          </w:p>
          <w:p w14:paraId="407DDA8E" w14:textId="77777777" w:rsidR="00C01D25" w:rsidRDefault="00C01D25">
            <w:pPr>
              <w:spacing w:after="0" w:line="240" w:lineRule="auto"/>
              <w:jc w:val="both"/>
            </w:pPr>
          </w:p>
          <w:p w14:paraId="373640D8" w14:textId="77777777" w:rsidR="00C01D25" w:rsidRDefault="008E476A">
            <w:pPr>
              <w:spacing w:after="0" w:line="240" w:lineRule="auto"/>
              <w:jc w:val="both"/>
              <w:rPr>
                <w:rFonts w:ascii="Arial" w:hAnsi="Arial"/>
                <w:sz w:val="18"/>
                <w:szCs w:val="18"/>
              </w:rPr>
            </w:pPr>
            <w:r>
              <w:rPr>
                <w:rFonts w:ascii="Arial" w:hAnsi="Arial"/>
                <w:sz w:val="18"/>
                <w:szCs w:val="18"/>
              </w:rPr>
              <w:t>Zadanie 8 „Opracowanie materiałów merytorycznych do portalu”. Zadanie zakończone i zrealizowane zgodnie z założeniami. Wykonano tłumaczenie kluczowych metadanych dla treści portalu. A: 04-2021, R: 04-2021</w:t>
            </w:r>
          </w:p>
          <w:p w14:paraId="37626E58" w14:textId="77777777" w:rsidR="00C01D25" w:rsidRDefault="00C01D25">
            <w:pPr>
              <w:spacing w:after="0" w:line="240" w:lineRule="auto"/>
              <w:jc w:val="both"/>
              <w:rPr>
                <w:rFonts w:ascii="Arial" w:hAnsi="Arial"/>
                <w:sz w:val="18"/>
                <w:szCs w:val="18"/>
              </w:rPr>
            </w:pPr>
          </w:p>
          <w:p w14:paraId="562FF192" w14:textId="77777777" w:rsidR="00C01D25" w:rsidRDefault="008E476A">
            <w:pPr>
              <w:spacing w:after="0" w:line="240" w:lineRule="auto"/>
              <w:jc w:val="both"/>
              <w:rPr>
                <w:rFonts w:ascii="Arial" w:hAnsi="Arial"/>
                <w:sz w:val="18"/>
                <w:szCs w:val="18"/>
              </w:rPr>
            </w:pPr>
            <w:r>
              <w:rPr>
                <w:rFonts w:ascii="Arial" w:hAnsi="Arial"/>
                <w:sz w:val="18"/>
                <w:szCs w:val="18"/>
              </w:rPr>
              <w:lastRenderedPageBreak/>
              <w:t>Zadanie 9 „Informacja i promocja”. Zadanie zakończone i zrealizowane zgodnie z założeniami. A: 05-2021, R: 05-2021</w:t>
            </w:r>
          </w:p>
          <w:p w14:paraId="08535272" w14:textId="77777777" w:rsidR="00C01D25" w:rsidRDefault="00C01D25">
            <w:pPr>
              <w:spacing w:after="0" w:line="240" w:lineRule="auto"/>
              <w:jc w:val="both"/>
              <w:rPr>
                <w:rFonts w:ascii="Arial" w:hAnsi="Arial"/>
                <w:sz w:val="18"/>
                <w:szCs w:val="18"/>
              </w:rPr>
            </w:pPr>
          </w:p>
          <w:p w14:paraId="7F8EA22C" w14:textId="77777777" w:rsidR="00C01D25" w:rsidRDefault="008E476A">
            <w:pPr>
              <w:spacing w:after="0" w:line="240" w:lineRule="auto"/>
              <w:jc w:val="both"/>
              <w:rPr>
                <w:rFonts w:ascii="Arial" w:hAnsi="Arial"/>
                <w:sz w:val="18"/>
                <w:szCs w:val="18"/>
              </w:rPr>
            </w:pPr>
            <w:r>
              <w:rPr>
                <w:rFonts w:ascii="Arial" w:hAnsi="Arial"/>
                <w:sz w:val="18"/>
                <w:szCs w:val="18"/>
              </w:rPr>
              <w:t>Kamienie milowe</w:t>
            </w:r>
          </w:p>
          <w:p w14:paraId="1DF06C1F" w14:textId="77777777" w:rsidR="00C01D25" w:rsidRDefault="00C01D25">
            <w:pPr>
              <w:spacing w:after="0" w:line="240" w:lineRule="auto"/>
              <w:jc w:val="both"/>
              <w:rPr>
                <w:rFonts w:ascii="Arial" w:hAnsi="Arial"/>
                <w:sz w:val="18"/>
                <w:szCs w:val="18"/>
              </w:rPr>
            </w:pPr>
          </w:p>
          <w:p w14:paraId="2B7097BC" w14:textId="77777777" w:rsidR="00C01D25" w:rsidRDefault="008E476A">
            <w:pPr>
              <w:spacing w:after="0" w:line="240" w:lineRule="auto"/>
              <w:jc w:val="both"/>
              <w:rPr>
                <w:rFonts w:ascii="Arial" w:hAnsi="Arial"/>
                <w:sz w:val="18"/>
                <w:szCs w:val="18"/>
              </w:rPr>
            </w:pPr>
            <w:r>
              <w:rPr>
                <w:rFonts w:ascii="Arial" w:hAnsi="Arial"/>
                <w:sz w:val="18"/>
                <w:szCs w:val="18"/>
              </w:rPr>
              <w:t>W opisie kamieni milowych podano pierwotnie planowaną datę realizacji [P], aktualną datę planowaną na podstawie ostatniej wersji umowy [A] oraz rzeczywistą datę realizacji [R].</w:t>
            </w:r>
          </w:p>
          <w:p w14:paraId="1979E329" w14:textId="77777777" w:rsidR="00C01D25" w:rsidRDefault="00C01D25">
            <w:pPr>
              <w:spacing w:after="0" w:line="240" w:lineRule="auto"/>
              <w:jc w:val="both"/>
              <w:rPr>
                <w:rFonts w:ascii="Arial" w:hAnsi="Arial"/>
                <w:sz w:val="18"/>
                <w:szCs w:val="18"/>
              </w:rPr>
            </w:pPr>
          </w:p>
          <w:p w14:paraId="740C69E4" w14:textId="77777777" w:rsidR="00C01D25" w:rsidRDefault="008E476A">
            <w:pPr>
              <w:spacing w:after="0" w:line="240" w:lineRule="auto"/>
              <w:jc w:val="both"/>
              <w:rPr>
                <w:rFonts w:ascii="Arial" w:hAnsi="Arial"/>
                <w:sz w:val="18"/>
                <w:szCs w:val="18"/>
              </w:rPr>
            </w:pPr>
            <w:r>
              <w:rPr>
                <w:rFonts w:ascii="Arial" w:hAnsi="Arial"/>
                <w:sz w:val="18"/>
                <w:szCs w:val="18"/>
              </w:rPr>
              <w:t>1. „Testowanie pierwszego zestawu dodatkowych modułów systemu zarządzania kolekcją”. P: 12-2018, A: 12-2018, R: 12-2018. Kamień milowy osiągnięty.</w:t>
            </w:r>
          </w:p>
          <w:p w14:paraId="1B475368" w14:textId="77777777" w:rsidR="00C01D25" w:rsidRDefault="00C01D25">
            <w:pPr>
              <w:spacing w:after="0" w:line="240" w:lineRule="auto"/>
              <w:jc w:val="both"/>
              <w:rPr>
                <w:rFonts w:ascii="Arial" w:hAnsi="Arial"/>
                <w:sz w:val="18"/>
                <w:szCs w:val="18"/>
              </w:rPr>
            </w:pPr>
          </w:p>
          <w:p w14:paraId="1A576EC3" w14:textId="77777777" w:rsidR="00C01D25" w:rsidRDefault="008E476A">
            <w:pPr>
              <w:spacing w:after="0" w:line="240" w:lineRule="auto"/>
              <w:jc w:val="both"/>
              <w:rPr>
                <w:rFonts w:ascii="Arial" w:hAnsi="Arial"/>
                <w:sz w:val="18"/>
                <w:szCs w:val="18"/>
              </w:rPr>
            </w:pPr>
            <w:r>
              <w:rPr>
                <w:rFonts w:ascii="Arial" w:hAnsi="Arial"/>
                <w:sz w:val="18"/>
                <w:szCs w:val="18"/>
              </w:rPr>
              <w:t>2. „Osiągnięcie podstawowej funkcjonalności systemu zarządzania kolekcją”. P: 08-2019, A: 08-2019, R: 08-2019. Kamień milowy osiągnięty.</w:t>
            </w:r>
          </w:p>
          <w:p w14:paraId="2740E83D" w14:textId="77777777" w:rsidR="00C01D25" w:rsidRDefault="00C01D25">
            <w:pPr>
              <w:spacing w:after="0" w:line="240" w:lineRule="auto"/>
              <w:jc w:val="both"/>
              <w:rPr>
                <w:rFonts w:ascii="Arial" w:hAnsi="Arial"/>
                <w:sz w:val="18"/>
                <w:szCs w:val="18"/>
              </w:rPr>
            </w:pPr>
          </w:p>
          <w:p w14:paraId="001A24E3" w14:textId="77777777" w:rsidR="00C01D25" w:rsidRDefault="008E476A">
            <w:pPr>
              <w:spacing w:after="0" w:line="240" w:lineRule="auto"/>
              <w:jc w:val="both"/>
              <w:rPr>
                <w:rFonts w:ascii="Arial" w:hAnsi="Arial"/>
                <w:sz w:val="18"/>
                <w:szCs w:val="18"/>
              </w:rPr>
            </w:pPr>
            <w:r>
              <w:rPr>
                <w:rFonts w:ascii="Arial" w:hAnsi="Arial"/>
                <w:sz w:val="18"/>
                <w:szCs w:val="18"/>
              </w:rPr>
              <w:t xml:space="preserve">3. „Komisyjny odbiór prac konserwatorskich”. P: 09-2018, A: 09-2018, R: 10-2018. Kamień milowy osiągnięty – odbiór części I i II prac nastąpił 24.09.2018. Odbiór III części nastąpił 01.10.2018 – przekroczenie planowanego terminu spowodowane koniecznością dodatkowych konsultacji w zakresie prac z wykonawcami. </w:t>
            </w:r>
          </w:p>
          <w:p w14:paraId="0605B8D6" w14:textId="77777777" w:rsidR="00C01D25" w:rsidRDefault="00C01D25">
            <w:pPr>
              <w:spacing w:after="0" w:line="240" w:lineRule="auto"/>
              <w:jc w:val="both"/>
              <w:rPr>
                <w:rFonts w:ascii="Arial" w:hAnsi="Arial"/>
                <w:sz w:val="18"/>
                <w:szCs w:val="18"/>
              </w:rPr>
            </w:pPr>
          </w:p>
          <w:p w14:paraId="2490AF34" w14:textId="77777777" w:rsidR="00C01D25" w:rsidRDefault="008E476A">
            <w:pPr>
              <w:spacing w:after="0" w:line="240" w:lineRule="auto"/>
              <w:jc w:val="both"/>
              <w:rPr>
                <w:rFonts w:ascii="Arial" w:hAnsi="Arial"/>
                <w:sz w:val="18"/>
                <w:szCs w:val="18"/>
              </w:rPr>
            </w:pPr>
            <w:r>
              <w:rPr>
                <w:rFonts w:ascii="Arial" w:hAnsi="Arial"/>
                <w:sz w:val="18"/>
                <w:szCs w:val="18"/>
              </w:rPr>
              <w:t>4. „Opracowanie wytycznych dotyczących digitalizacji rzeźb poprzedzające rozpoczęcie digitalizacji obiektów”. P: 07-2018, A: 07-2018, R: 08-2018. Kamień milowy osiągnięty nie przekraczając daty punktu krytycznego, tj. 31.08.2018. Opracowanie wytycznych wymagało większej ilości czasu z uwagi na konieczność weryfikacji założeń w oparciu o ocenę stanu zachowania rzeźb, stąd przekroczenie planowanego terminu osiągnięcia kamienia.</w:t>
            </w:r>
          </w:p>
          <w:p w14:paraId="5D9E2E59" w14:textId="77777777" w:rsidR="00C01D25" w:rsidRDefault="00C01D25">
            <w:pPr>
              <w:spacing w:after="0" w:line="240" w:lineRule="auto"/>
              <w:jc w:val="both"/>
              <w:rPr>
                <w:rFonts w:ascii="Arial" w:hAnsi="Arial"/>
                <w:sz w:val="18"/>
                <w:szCs w:val="18"/>
              </w:rPr>
            </w:pPr>
          </w:p>
          <w:p w14:paraId="1864F8CB" w14:textId="77777777" w:rsidR="00C01D25" w:rsidRDefault="008E476A">
            <w:pPr>
              <w:spacing w:after="0" w:line="240" w:lineRule="auto"/>
              <w:jc w:val="both"/>
              <w:rPr>
                <w:rFonts w:ascii="Arial" w:hAnsi="Arial"/>
                <w:sz w:val="18"/>
                <w:szCs w:val="18"/>
              </w:rPr>
            </w:pPr>
            <w:r>
              <w:rPr>
                <w:rFonts w:ascii="Arial" w:hAnsi="Arial"/>
                <w:sz w:val="18"/>
                <w:szCs w:val="18"/>
              </w:rPr>
              <w:t>5. „Wprowadzenie kluczowych metadanych dotyczących obiektów muzealnych poprzedzające publikację on-line”. P: 08-2019, A: 08-2019, R: 08-2019. Kamień milowy osiągnięty.</w:t>
            </w:r>
          </w:p>
          <w:p w14:paraId="74A9477A" w14:textId="77777777" w:rsidR="00C01D25" w:rsidRDefault="00C01D25">
            <w:pPr>
              <w:spacing w:after="0" w:line="240" w:lineRule="auto"/>
              <w:jc w:val="both"/>
              <w:rPr>
                <w:rFonts w:ascii="Arial" w:hAnsi="Arial"/>
                <w:sz w:val="18"/>
                <w:szCs w:val="18"/>
              </w:rPr>
            </w:pPr>
          </w:p>
          <w:p w14:paraId="1D281B51" w14:textId="77777777" w:rsidR="00C01D25" w:rsidRDefault="008E476A">
            <w:pPr>
              <w:spacing w:after="0" w:line="240" w:lineRule="auto"/>
              <w:jc w:val="both"/>
              <w:rPr>
                <w:rFonts w:ascii="Arial" w:hAnsi="Arial"/>
                <w:sz w:val="18"/>
                <w:szCs w:val="18"/>
              </w:rPr>
            </w:pPr>
            <w:r>
              <w:rPr>
                <w:rFonts w:ascii="Arial" w:hAnsi="Arial"/>
                <w:sz w:val="18"/>
                <w:szCs w:val="18"/>
              </w:rPr>
              <w:t>6. „Analiza i testowanie funkcjonalności oprogramowania umożliwiającego renderowanie partytur oraz wykorzystywanie skomputeryzowanej analizy muzycznej”. P: 04-2019, A: 04-2019, R: 04-2019. Kamień milowy osiągnięty.</w:t>
            </w:r>
          </w:p>
          <w:p w14:paraId="26ACBFFA" w14:textId="77777777" w:rsidR="00C01D25" w:rsidRDefault="00C01D25">
            <w:pPr>
              <w:spacing w:after="0" w:line="240" w:lineRule="auto"/>
              <w:jc w:val="both"/>
              <w:rPr>
                <w:rFonts w:ascii="Arial" w:hAnsi="Arial"/>
                <w:sz w:val="18"/>
                <w:szCs w:val="18"/>
              </w:rPr>
            </w:pPr>
          </w:p>
          <w:p w14:paraId="4C4DB395" w14:textId="77777777" w:rsidR="00C01D25" w:rsidRDefault="008E476A">
            <w:pPr>
              <w:spacing w:after="0" w:line="240" w:lineRule="auto"/>
              <w:jc w:val="both"/>
              <w:rPr>
                <w:rFonts w:ascii="Arial" w:hAnsi="Arial"/>
                <w:sz w:val="18"/>
                <w:szCs w:val="18"/>
              </w:rPr>
            </w:pPr>
            <w:r>
              <w:rPr>
                <w:rFonts w:ascii="Arial" w:hAnsi="Arial"/>
                <w:sz w:val="18"/>
                <w:szCs w:val="18"/>
              </w:rPr>
              <w:t>7. „Uruchomienie systemu renderowania partytur, porównywania wersji i analizy i testowanie działania systemu”. P: 01-2020, A: 01-2020, R: 01-2020. Kamień milowy osiągnięty.</w:t>
            </w:r>
          </w:p>
          <w:p w14:paraId="5BEF4C32" w14:textId="77777777" w:rsidR="00C01D25" w:rsidRDefault="00C01D25">
            <w:pPr>
              <w:spacing w:after="0" w:line="240" w:lineRule="auto"/>
              <w:jc w:val="both"/>
              <w:rPr>
                <w:rFonts w:ascii="Arial" w:hAnsi="Arial"/>
                <w:sz w:val="18"/>
                <w:szCs w:val="18"/>
              </w:rPr>
            </w:pPr>
          </w:p>
          <w:p w14:paraId="064AF7AE" w14:textId="77777777" w:rsidR="00C01D25" w:rsidRDefault="008E476A">
            <w:pPr>
              <w:spacing w:after="0" w:line="240" w:lineRule="auto"/>
              <w:jc w:val="both"/>
              <w:rPr>
                <w:rFonts w:ascii="Arial" w:hAnsi="Arial"/>
                <w:sz w:val="18"/>
                <w:szCs w:val="18"/>
              </w:rPr>
            </w:pPr>
            <w:r>
              <w:rPr>
                <w:rFonts w:ascii="Arial" w:hAnsi="Arial"/>
                <w:sz w:val="18"/>
                <w:szCs w:val="18"/>
              </w:rPr>
              <w:t>8. „Uruchomienie pierwszej wersji platformy, testy z użytkownikami, wprowadzanie zmian i udogodnień wynikających z testów”. P: 01-2020, A: 01-2020, R: 01-2020. Kamień milowy osiągnięty.</w:t>
            </w:r>
          </w:p>
          <w:p w14:paraId="050C75B4" w14:textId="77777777" w:rsidR="00C01D25" w:rsidRDefault="00C01D25">
            <w:pPr>
              <w:spacing w:after="0" w:line="240" w:lineRule="auto"/>
              <w:jc w:val="both"/>
              <w:rPr>
                <w:rFonts w:ascii="Arial" w:hAnsi="Arial"/>
                <w:sz w:val="18"/>
                <w:szCs w:val="18"/>
              </w:rPr>
            </w:pPr>
          </w:p>
          <w:p w14:paraId="4A0C234D" w14:textId="77777777" w:rsidR="00C01D25" w:rsidRDefault="008E476A">
            <w:pPr>
              <w:spacing w:after="0" w:line="240" w:lineRule="auto"/>
              <w:jc w:val="both"/>
              <w:rPr>
                <w:rFonts w:ascii="Arial" w:hAnsi="Arial"/>
                <w:sz w:val="18"/>
                <w:szCs w:val="18"/>
              </w:rPr>
            </w:pPr>
            <w:r>
              <w:rPr>
                <w:rFonts w:ascii="Arial" w:hAnsi="Arial"/>
                <w:sz w:val="18"/>
                <w:szCs w:val="18"/>
              </w:rPr>
              <w:t>9. „</w:t>
            </w:r>
            <w:r>
              <w:rPr>
                <w:rFonts w:ascii="Arial" w:eastAsia="Times New Roman" w:hAnsi="Arial" w:cs="Arial"/>
                <w:color w:val="000000"/>
                <w:sz w:val="18"/>
                <w:szCs w:val="18"/>
                <w:lang w:eastAsia="pl-PL"/>
              </w:rPr>
              <w:t>Uruchomienie interfejsu umożliwiającego wprowadzanie danych do portalu”. P: 03-2018, A: 03-2018, R: 03-2018. Kamień milowy osiągnięty.</w:t>
            </w:r>
          </w:p>
          <w:p w14:paraId="4EB3218E" w14:textId="77777777" w:rsidR="00C01D25" w:rsidRDefault="00C01D25">
            <w:pPr>
              <w:spacing w:after="0" w:line="240" w:lineRule="auto"/>
              <w:jc w:val="both"/>
              <w:rPr>
                <w:rFonts w:ascii="Arial" w:hAnsi="Arial"/>
                <w:sz w:val="18"/>
                <w:szCs w:val="18"/>
              </w:rPr>
            </w:pPr>
          </w:p>
          <w:p w14:paraId="491B2398" w14:textId="77777777" w:rsidR="00C01D25" w:rsidRDefault="008E476A">
            <w:pPr>
              <w:spacing w:after="0" w:line="240" w:lineRule="auto"/>
              <w:jc w:val="both"/>
              <w:rPr>
                <w:rFonts w:ascii="Arial" w:hAnsi="Arial"/>
                <w:sz w:val="18"/>
                <w:szCs w:val="18"/>
              </w:rPr>
            </w:pPr>
            <w:r>
              <w:rPr>
                <w:rFonts w:ascii="Arial" w:hAnsi="Arial"/>
                <w:sz w:val="18"/>
                <w:szCs w:val="18"/>
              </w:rPr>
              <w:t>10. „</w:t>
            </w:r>
            <w:r>
              <w:rPr>
                <w:rFonts w:ascii="Arial" w:eastAsia="Times New Roman" w:hAnsi="Arial" w:cs="Arial"/>
                <w:color w:val="000000"/>
                <w:sz w:val="18"/>
                <w:szCs w:val="18"/>
                <w:lang w:eastAsia="pl-PL"/>
              </w:rPr>
              <w:t>Opracowanie podstawowych materiałów promocyjnych”. P: 08-2018, A: 08-2018, R: 08-2018. Kamień milowy osiągnięty.</w:t>
            </w:r>
          </w:p>
          <w:p w14:paraId="31316459" w14:textId="77777777" w:rsidR="00C01D25" w:rsidRDefault="00C01D25">
            <w:pPr>
              <w:spacing w:after="0" w:line="240" w:lineRule="auto"/>
              <w:jc w:val="both"/>
              <w:rPr>
                <w:rFonts w:ascii="Arial" w:hAnsi="Arial"/>
                <w:sz w:val="18"/>
                <w:szCs w:val="18"/>
              </w:rPr>
            </w:pPr>
          </w:p>
          <w:p w14:paraId="4EE373E9" w14:textId="77777777" w:rsidR="00C01D25" w:rsidRDefault="008E476A">
            <w:pPr>
              <w:spacing w:after="0" w:line="240" w:lineRule="auto"/>
              <w:jc w:val="both"/>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Zrealizowano następujące produkty projektu:</w:t>
            </w:r>
          </w:p>
          <w:p w14:paraId="06E299B9" w14:textId="77777777" w:rsidR="00C01D25" w:rsidRDefault="00C01D25">
            <w:pPr>
              <w:spacing w:after="0" w:line="240" w:lineRule="auto"/>
              <w:jc w:val="both"/>
              <w:rPr>
                <w:rFonts w:ascii="Arial" w:eastAsia="Times New Roman" w:hAnsi="Arial" w:cs="Arial"/>
                <w:color w:val="000000"/>
                <w:sz w:val="18"/>
                <w:szCs w:val="18"/>
                <w:lang w:eastAsia="pl-PL"/>
              </w:rPr>
            </w:pPr>
          </w:p>
          <w:tbl>
            <w:tblPr>
              <w:tblStyle w:val="Tabela-Siatka"/>
              <w:tblW w:w="5000" w:type="pct"/>
              <w:tblLook w:val="04A0" w:firstRow="1" w:lastRow="0" w:firstColumn="1" w:lastColumn="0" w:noHBand="0" w:noVBand="1"/>
            </w:tblPr>
            <w:tblGrid>
              <w:gridCol w:w="3589"/>
              <w:gridCol w:w="3576"/>
            </w:tblGrid>
            <w:tr w:rsidR="00C01D25" w14:paraId="2F6A5B8D" w14:textId="77777777">
              <w:tc>
                <w:tcPr>
                  <w:tcW w:w="3594" w:type="dxa"/>
                  <w:shd w:val="clear" w:color="auto" w:fill="D9D9D9" w:themeFill="background1" w:themeFillShade="D9"/>
                  <w:vAlign w:val="center"/>
                </w:tcPr>
                <w:p w14:paraId="3E300D26" w14:textId="77777777" w:rsidR="00C01D25" w:rsidRDefault="008E476A">
                  <w:pPr>
                    <w:pStyle w:val="Other0"/>
                  </w:pPr>
                  <w:r>
                    <w:rPr>
                      <w:b/>
                      <w:bCs/>
                    </w:rPr>
                    <w:t>Nazwa produktu</w:t>
                  </w:r>
                </w:p>
              </w:tc>
              <w:tc>
                <w:tcPr>
                  <w:tcW w:w="3581" w:type="dxa"/>
                  <w:shd w:val="clear" w:color="auto" w:fill="D9D9D9" w:themeFill="background1" w:themeFillShade="D9"/>
                  <w:vAlign w:val="center"/>
                </w:tcPr>
                <w:p w14:paraId="54753475" w14:textId="77777777" w:rsidR="00C01D25" w:rsidRDefault="008E476A">
                  <w:pPr>
                    <w:pStyle w:val="Other0"/>
                  </w:pPr>
                  <w:r>
                    <w:rPr>
                      <w:b/>
                      <w:bCs/>
                    </w:rPr>
                    <w:t>Data wdrożenia</w:t>
                  </w:r>
                </w:p>
              </w:tc>
            </w:tr>
            <w:tr w:rsidR="00C01D25" w14:paraId="233339F8" w14:textId="77777777">
              <w:tc>
                <w:tcPr>
                  <w:tcW w:w="3594" w:type="dxa"/>
                  <w:vAlign w:val="center"/>
                </w:tcPr>
                <w:p w14:paraId="1E46EB0B" w14:textId="77777777" w:rsidR="00C01D25" w:rsidRDefault="008E476A">
                  <w:pPr>
                    <w:pStyle w:val="Other0"/>
                    <w:rPr>
                      <w:rFonts w:asciiTheme="minorHAnsi" w:hAnsiTheme="minorHAnsi" w:cstheme="minorHAnsi"/>
                      <w:bCs/>
                    </w:rPr>
                  </w:pPr>
                  <w:r>
                    <w:rPr>
                      <w:rFonts w:cstheme="minorHAnsi"/>
                      <w:bCs/>
                    </w:rPr>
                    <w:t>Interfejs do wprowadzania danych</w:t>
                  </w:r>
                </w:p>
                <w:p w14:paraId="21B3CF07" w14:textId="77777777" w:rsidR="00C01D25" w:rsidRDefault="00C01D25">
                  <w:pPr>
                    <w:pStyle w:val="Other0"/>
                    <w:rPr>
                      <w:rFonts w:asciiTheme="minorHAnsi" w:hAnsiTheme="minorHAnsi" w:cstheme="minorHAnsi"/>
                    </w:rPr>
                  </w:pPr>
                </w:p>
              </w:tc>
              <w:tc>
                <w:tcPr>
                  <w:tcW w:w="3581" w:type="dxa"/>
                  <w:vAlign w:val="center"/>
                </w:tcPr>
                <w:p w14:paraId="0A1A04B5" w14:textId="77777777" w:rsidR="00C01D25" w:rsidRDefault="008E476A">
                  <w:pPr>
                    <w:pStyle w:val="Other0"/>
                  </w:pPr>
                  <w:r>
                    <w:t>03-2018</w:t>
                  </w:r>
                </w:p>
              </w:tc>
            </w:tr>
            <w:tr w:rsidR="00C01D25" w14:paraId="47B143DD" w14:textId="77777777">
              <w:tc>
                <w:tcPr>
                  <w:tcW w:w="3594" w:type="dxa"/>
                  <w:vAlign w:val="center"/>
                </w:tcPr>
                <w:p w14:paraId="7F43AAFE" w14:textId="77777777" w:rsidR="00C01D25" w:rsidRDefault="008E476A">
                  <w:pPr>
                    <w:pStyle w:val="Other0"/>
                    <w:rPr>
                      <w:rFonts w:asciiTheme="minorHAnsi" w:hAnsiTheme="minorHAnsi" w:cstheme="minorHAnsi"/>
                      <w:bCs/>
                    </w:rPr>
                  </w:pPr>
                  <w:r>
                    <w:rPr>
                      <w:rFonts w:cstheme="minorHAnsi"/>
                      <w:bCs/>
                    </w:rPr>
                    <w:t>System renderowania partytur cyfrowych oraz porównywania wersji utworów</w:t>
                  </w:r>
                </w:p>
              </w:tc>
              <w:tc>
                <w:tcPr>
                  <w:tcW w:w="3581" w:type="dxa"/>
                  <w:vAlign w:val="center"/>
                </w:tcPr>
                <w:p w14:paraId="6203D28D" w14:textId="77777777" w:rsidR="00C01D25" w:rsidRDefault="008E476A">
                  <w:pPr>
                    <w:pStyle w:val="Other0"/>
                  </w:pPr>
                  <w:r>
                    <w:t>01-2020</w:t>
                  </w:r>
                </w:p>
              </w:tc>
            </w:tr>
            <w:tr w:rsidR="00C01D25" w14:paraId="3ACC8ACD" w14:textId="77777777">
              <w:tc>
                <w:tcPr>
                  <w:tcW w:w="3594" w:type="dxa"/>
                  <w:vAlign w:val="center"/>
                </w:tcPr>
                <w:p w14:paraId="76854A8D" w14:textId="77777777" w:rsidR="00C01D25" w:rsidRDefault="008E476A">
                  <w:pPr>
                    <w:pStyle w:val="Other0"/>
                    <w:rPr>
                      <w:rFonts w:asciiTheme="minorHAnsi" w:hAnsiTheme="minorHAnsi" w:cstheme="minorHAnsi"/>
                      <w:bCs/>
                    </w:rPr>
                  </w:pPr>
                  <w:r>
                    <w:rPr>
                      <w:rFonts w:cstheme="minorHAnsi"/>
                      <w:bCs/>
                    </w:rPr>
                    <w:t>Wyszukiwarka muzyczna oparta o system Humdrum</w:t>
                  </w:r>
                </w:p>
                <w:p w14:paraId="7289F82F" w14:textId="77777777" w:rsidR="00C01D25" w:rsidRDefault="00C01D25">
                  <w:pPr>
                    <w:pStyle w:val="Other0"/>
                    <w:rPr>
                      <w:rFonts w:asciiTheme="minorHAnsi" w:hAnsiTheme="minorHAnsi" w:cstheme="minorHAnsi"/>
                    </w:rPr>
                  </w:pPr>
                </w:p>
              </w:tc>
              <w:tc>
                <w:tcPr>
                  <w:tcW w:w="3581" w:type="dxa"/>
                  <w:vAlign w:val="center"/>
                </w:tcPr>
                <w:p w14:paraId="320311BF" w14:textId="77777777" w:rsidR="00C01D25" w:rsidRDefault="008E476A">
                  <w:pPr>
                    <w:pStyle w:val="Other0"/>
                  </w:pPr>
                  <w:r>
                    <w:t>05-2021</w:t>
                  </w:r>
                </w:p>
              </w:tc>
            </w:tr>
            <w:tr w:rsidR="00C01D25" w14:paraId="60BD2085" w14:textId="77777777">
              <w:tc>
                <w:tcPr>
                  <w:tcW w:w="3594" w:type="dxa"/>
                </w:tcPr>
                <w:p w14:paraId="53F5C013" w14:textId="77777777" w:rsidR="00C01D25" w:rsidRDefault="008E476A">
                  <w:pPr>
                    <w:pStyle w:val="Other0"/>
                    <w:rPr>
                      <w:rFonts w:asciiTheme="minorHAnsi" w:hAnsiTheme="minorHAnsi" w:cstheme="minorHAnsi"/>
                    </w:rPr>
                  </w:pPr>
                  <w:r>
                    <w:rPr>
                      <w:rFonts w:cstheme="minorHAnsi"/>
                    </w:rPr>
                    <w:t>API dla danych i metadanych portalu</w:t>
                  </w:r>
                </w:p>
              </w:tc>
              <w:tc>
                <w:tcPr>
                  <w:tcW w:w="3581" w:type="dxa"/>
                  <w:vAlign w:val="center"/>
                </w:tcPr>
                <w:p w14:paraId="15D67E6F" w14:textId="77777777" w:rsidR="00C01D25" w:rsidRDefault="008E476A">
                  <w:pPr>
                    <w:pStyle w:val="Other0"/>
                  </w:pPr>
                  <w:r>
                    <w:t>05-2021</w:t>
                  </w:r>
                </w:p>
              </w:tc>
            </w:tr>
            <w:tr w:rsidR="00C01D25" w14:paraId="4D55AB61" w14:textId="77777777">
              <w:tc>
                <w:tcPr>
                  <w:tcW w:w="3594" w:type="dxa"/>
                  <w:vAlign w:val="bottom"/>
                </w:tcPr>
                <w:p w14:paraId="529570FF" w14:textId="77777777" w:rsidR="00C01D25" w:rsidRDefault="008E476A">
                  <w:pPr>
                    <w:pStyle w:val="Other0"/>
                    <w:rPr>
                      <w:rFonts w:asciiTheme="minorHAnsi" w:hAnsiTheme="minorHAnsi" w:cstheme="minorHAnsi"/>
                    </w:rPr>
                  </w:pPr>
                  <w:r>
                    <w:rPr>
                      <w:rFonts w:eastAsia="Times New Roman" w:cstheme="minorHAnsi"/>
                      <w:color w:val="000000"/>
                      <w:lang w:eastAsia="pl-PL"/>
                    </w:rPr>
                    <w:t>Repozytorium przechowujące dane wytworzone w projekcie</w:t>
                  </w:r>
                </w:p>
              </w:tc>
              <w:tc>
                <w:tcPr>
                  <w:tcW w:w="3581" w:type="dxa"/>
                  <w:vAlign w:val="center"/>
                </w:tcPr>
                <w:p w14:paraId="4A1CC8F1" w14:textId="77777777" w:rsidR="00C01D25" w:rsidRDefault="008E476A">
                  <w:pPr>
                    <w:pStyle w:val="Other0"/>
                  </w:pPr>
                  <w:r>
                    <w:t>04-2020</w:t>
                  </w:r>
                </w:p>
              </w:tc>
            </w:tr>
            <w:tr w:rsidR="00C01D25" w14:paraId="5C7D98FF" w14:textId="77777777">
              <w:tc>
                <w:tcPr>
                  <w:tcW w:w="3594" w:type="dxa"/>
                  <w:vAlign w:val="bottom"/>
                </w:tcPr>
                <w:p w14:paraId="6A9C7C4E" w14:textId="77777777" w:rsidR="00C01D25" w:rsidRDefault="008E476A">
                  <w:pPr>
                    <w:pStyle w:val="Other0"/>
                    <w:rPr>
                      <w:rFonts w:asciiTheme="minorHAnsi" w:eastAsia="Times New Roman" w:hAnsiTheme="minorHAnsi" w:cstheme="minorHAnsi"/>
                      <w:color w:val="000000"/>
                      <w:lang w:eastAsia="pl-PL"/>
                    </w:rPr>
                  </w:pPr>
                  <w:r>
                    <w:rPr>
                      <w:rFonts w:eastAsia="Times New Roman" w:cstheme="minorHAnsi"/>
                      <w:color w:val="000000"/>
                      <w:lang w:eastAsia="pl-PL"/>
                    </w:rPr>
                    <w:t>Platforma NIFC zintegrowana z platformą multimedialną na której udostępniane są ISP wytworzone w projekcie</w:t>
                  </w:r>
                </w:p>
              </w:tc>
              <w:tc>
                <w:tcPr>
                  <w:tcW w:w="3581" w:type="dxa"/>
                  <w:vAlign w:val="center"/>
                </w:tcPr>
                <w:p w14:paraId="1059B4E6" w14:textId="77777777" w:rsidR="00C01D25" w:rsidRDefault="008E476A">
                  <w:pPr>
                    <w:pStyle w:val="Other0"/>
                  </w:pPr>
                  <w:r>
                    <w:t>04-2021</w:t>
                  </w:r>
                </w:p>
              </w:tc>
            </w:tr>
          </w:tbl>
          <w:p w14:paraId="59634660" w14:textId="77777777" w:rsidR="00C01D25" w:rsidRDefault="00C01D25">
            <w:pPr>
              <w:spacing w:after="0" w:line="240" w:lineRule="auto"/>
              <w:jc w:val="both"/>
              <w:rPr>
                <w:rFonts w:ascii="Arial" w:hAnsi="Arial"/>
                <w:i/>
                <w:sz w:val="18"/>
                <w:szCs w:val="18"/>
              </w:rPr>
            </w:pPr>
          </w:p>
          <w:p w14:paraId="508FC59D" w14:textId="77777777" w:rsidR="00C01D25" w:rsidRDefault="008E476A">
            <w:pPr>
              <w:spacing w:after="0" w:line="240" w:lineRule="auto"/>
              <w:jc w:val="both"/>
              <w:rPr>
                <w:rFonts w:cstheme="minorHAnsi"/>
                <w:b/>
                <w:sz w:val="18"/>
                <w:szCs w:val="18"/>
              </w:rPr>
            </w:pPr>
            <w:r>
              <w:rPr>
                <w:rFonts w:cstheme="minorHAnsi"/>
                <w:b/>
                <w:sz w:val="18"/>
                <w:szCs w:val="18"/>
              </w:rPr>
              <w:t>Udostępnione informacje sektora publicznego i zdigitalizowane zasoby</w:t>
            </w:r>
          </w:p>
          <w:p w14:paraId="369CF1BA" w14:textId="77777777" w:rsidR="00C01D25" w:rsidRDefault="00C01D25">
            <w:pPr>
              <w:spacing w:after="0" w:line="240" w:lineRule="auto"/>
              <w:jc w:val="both"/>
              <w:rPr>
                <w:rFonts w:cstheme="minorHAnsi"/>
                <w:sz w:val="18"/>
                <w:szCs w:val="18"/>
              </w:rPr>
            </w:pPr>
          </w:p>
          <w:tbl>
            <w:tblPr>
              <w:tblStyle w:val="Tabela-Siatka"/>
              <w:tblW w:w="6428" w:type="dxa"/>
              <w:tblLook w:val="04A0" w:firstRow="1" w:lastRow="0" w:firstColumn="1" w:lastColumn="0" w:noHBand="0" w:noVBand="1"/>
            </w:tblPr>
            <w:tblGrid>
              <w:gridCol w:w="1497"/>
              <w:gridCol w:w="1277"/>
              <w:gridCol w:w="3654"/>
            </w:tblGrid>
            <w:tr w:rsidR="00C01D25" w14:paraId="7A8537D5" w14:textId="77777777">
              <w:trPr>
                <w:tblHeader/>
              </w:trPr>
              <w:tc>
                <w:tcPr>
                  <w:tcW w:w="1497" w:type="dxa"/>
                  <w:shd w:val="clear" w:color="auto" w:fill="D0CECE" w:themeFill="background2" w:themeFillShade="E6"/>
                  <w:vAlign w:val="center"/>
                </w:tcPr>
                <w:p w14:paraId="3DF2304E" w14:textId="77777777" w:rsidR="00C01D25" w:rsidRDefault="008E476A">
                  <w:pPr>
                    <w:spacing w:after="0" w:line="240" w:lineRule="auto"/>
                    <w:rPr>
                      <w:rFonts w:ascii="Arial" w:hAnsi="Arial" w:cs="Arial"/>
                      <w:b/>
                      <w:sz w:val="18"/>
                      <w:szCs w:val="18"/>
                    </w:rPr>
                  </w:pPr>
                  <w:r>
                    <w:rPr>
                      <w:rFonts w:ascii="Arial" w:hAnsi="Arial" w:cs="Arial"/>
                      <w:b/>
                      <w:sz w:val="18"/>
                      <w:szCs w:val="18"/>
                    </w:rPr>
                    <w:t>Nazwa</w:t>
                  </w:r>
                </w:p>
              </w:tc>
              <w:tc>
                <w:tcPr>
                  <w:tcW w:w="1277" w:type="dxa"/>
                  <w:shd w:val="clear" w:color="auto" w:fill="D0CECE" w:themeFill="background2" w:themeFillShade="E6"/>
                </w:tcPr>
                <w:p w14:paraId="0F3401F9" w14:textId="77777777" w:rsidR="00C01D25" w:rsidRDefault="008E476A">
                  <w:pPr>
                    <w:spacing w:after="0" w:line="240" w:lineRule="auto"/>
                    <w:rPr>
                      <w:rFonts w:ascii="Arial" w:hAnsi="Arial" w:cs="Arial"/>
                      <w:b/>
                      <w:sz w:val="18"/>
                      <w:szCs w:val="18"/>
                    </w:rPr>
                  </w:pPr>
                  <w:r>
                    <w:rPr>
                      <w:rFonts w:ascii="Arial" w:hAnsi="Arial" w:cs="Arial"/>
                      <w:b/>
                      <w:sz w:val="18"/>
                      <w:szCs w:val="18"/>
                    </w:rPr>
                    <w:t>Rzeczywista data wdrożenia</w:t>
                  </w:r>
                </w:p>
              </w:tc>
              <w:tc>
                <w:tcPr>
                  <w:tcW w:w="3654" w:type="dxa"/>
                  <w:shd w:val="clear" w:color="auto" w:fill="D0CECE" w:themeFill="background2" w:themeFillShade="E6"/>
                  <w:vAlign w:val="center"/>
                </w:tcPr>
                <w:p w14:paraId="593C5492" w14:textId="77777777" w:rsidR="00C01D25" w:rsidRDefault="008E476A">
                  <w:pPr>
                    <w:spacing w:after="0" w:line="240" w:lineRule="auto"/>
                    <w:rPr>
                      <w:rFonts w:ascii="Arial" w:hAnsi="Arial" w:cs="Arial"/>
                      <w:b/>
                      <w:sz w:val="18"/>
                      <w:szCs w:val="18"/>
                    </w:rPr>
                  </w:pPr>
                  <w:r>
                    <w:rPr>
                      <w:rFonts w:ascii="Arial" w:hAnsi="Arial" w:cs="Arial"/>
                      <w:b/>
                      <w:sz w:val="18"/>
                      <w:szCs w:val="18"/>
                    </w:rPr>
                    <w:t>Opis zmian</w:t>
                  </w:r>
                </w:p>
              </w:tc>
            </w:tr>
            <w:tr w:rsidR="00C01D25" w14:paraId="38FA16B4" w14:textId="77777777">
              <w:tc>
                <w:tcPr>
                  <w:tcW w:w="1497" w:type="dxa"/>
                </w:tcPr>
                <w:p w14:paraId="63BBDB91" w14:textId="77777777" w:rsidR="00C01D25" w:rsidRDefault="008E476A">
                  <w:pPr>
                    <w:spacing w:after="0" w:line="240" w:lineRule="auto"/>
                    <w:jc w:val="both"/>
                    <w:rPr>
                      <w:rFonts w:ascii="Arial" w:hAnsi="Arial" w:cs="Arial"/>
                      <w:sz w:val="18"/>
                      <w:szCs w:val="18"/>
                    </w:rPr>
                  </w:pPr>
                  <w:r>
                    <w:rPr>
                      <w:rFonts w:ascii="Arial" w:hAnsi="Arial" w:cs="Arial"/>
                      <w:sz w:val="18"/>
                      <w:szCs w:val="18"/>
                    </w:rPr>
                    <w:t>Udostępnienie dziedzictwa chopinowskiego (</w:t>
                  </w:r>
                  <w:r>
                    <w:rPr>
                      <w:rFonts w:ascii="Arial" w:hAnsi="Arial" w:cs="Arial"/>
                      <w:sz w:val="18"/>
                      <w:szCs w:val="18"/>
                      <w:lang w:eastAsia="pl-PL"/>
                    </w:rPr>
                    <w:t>muzyka, obiekty muzealne i biblioteczne, nagrania, monografie naukowe oraz czasopisma)</w:t>
                  </w:r>
                </w:p>
              </w:tc>
              <w:tc>
                <w:tcPr>
                  <w:tcW w:w="1277" w:type="dxa"/>
                </w:tcPr>
                <w:p w14:paraId="38E326D0" w14:textId="77777777" w:rsidR="00C01D25" w:rsidRDefault="008E476A">
                  <w:pPr>
                    <w:spacing w:after="0" w:line="240" w:lineRule="auto"/>
                    <w:rPr>
                      <w:rFonts w:ascii="Arial" w:hAnsi="Arial" w:cs="Arial"/>
                      <w:sz w:val="18"/>
                      <w:szCs w:val="18"/>
                    </w:rPr>
                  </w:pPr>
                  <w:r>
                    <w:rPr>
                      <w:rFonts w:ascii="Arial" w:hAnsi="Arial" w:cs="Arial"/>
                      <w:sz w:val="18"/>
                      <w:szCs w:val="18"/>
                    </w:rPr>
                    <w:t>05-2021</w:t>
                  </w:r>
                </w:p>
              </w:tc>
              <w:tc>
                <w:tcPr>
                  <w:tcW w:w="3654" w:type="dxa"/>
                </w:tcPr>
                <w:p w14:paraId="7D54CAEE" w14:textId="77777777" w:rsidR="00C01D25" w:rsidRDefault="008E476A">
                  <w:pPr>
                    <w:spacing w:after="0" w:line="240" w:lineRule="auto"/>
                    <w:rPr>
                      <w:rFonts w:ascii="Arial" w:hAnsi="Arial" w:cs="Arial"/>
                      <w:sz w:val="18"/>
                      <w:szCs w:val="18"/>
                    </w:rPr>
                  </w:pPr>
                  <w:r>
                    <w:rPr>
                      <w:rFonts w:ascii="Arial" w:hAnsi="Arial" w:cs="Arial"/>
                      <w:sz w:val="18"/>
                      <w:szCs w:val="18"/>
                    </w:rPr>
                    <w:t>Zgodnie z wdrożonym planem naprawczym udostępniono na platformie multimedialnej komplet deklarowanych ISP. Osiągnięty wskaźnik nieznacznie przekracza przyjętą we wniosku wartość. Udostępniono 510 Afiszy, 3259 numerów czasopism, 577 książek (monografii i in.), 2576 druków muzycznych, 30914 fotografii oraz 2428 obiektów muzealnych. Udostępniono także komplet transkrypcji cyfrowych dzieł Chopina w wersjach źródłowych.</w:t>
                  </w:r>
                </w:p>
              </w:tc>
            </w:tr>
          </w:tbl>
          <w:p w14:paraId="6D45D62C" w14:textId="77777777" w:rsidR="00C01D25" w:rsidRDefault="00C01D25">
            <w:pPr>
              <w:spacing w:after="0" w:line="240" w:lineRule="auto"/>
              <w:jc w:val="both"/>
              <w:rPr>
                <w:rFonts w:cstheme="minorHAnsi"/>
                <w:sz w:val="18"/>
                <w:szCs w:val="18"/>
              </w:rPr>
            </w:pPr>
          </w:p>
        </w:tc>
      </w:tr>
      <w:tr w:rsidR="00C01D25" w14:paraId="281D3C74" w14:textId="77777777">
        <w:tc>
          <w:tcPr>
            <w:tcW w:w="485" w:type="dxa"/>
            <w:tcBorders>
              <w:top w:val="single" w:sz="4" w:space="0" w:color="000000"/>
              <w:left w:val="single" w:sz="4" w:space="0" w:color="000000"/>
              <w:bottom w:val="single" w:sz="4" w:space="0" w:color="000000"/>
              <w:right w:val="single" w:sz="4" w:space="0" w:color="000000"/>
            </w:tcBorders>
          </w:tcPr>
          <w:p w14:paraId="5D4AAFFB"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154E1723" w14:textId="77777777" w:rsidR="00C01D25" w:rsidRDefault="008E476A">
            <w:pPr>
              <w:spacing w:after="0" w:line="240" w:lineRule="auto"/>
              <w:rPr>
                <w:rFonts w:ascii="Arial" w:hAnsi="Arial"/>
                <w:sz w:val="18"/>
                <w:szCs w:val="18"/>
              </w:rPr>
            </w:pPr>
            <w:r>
              <w:rPr>
                <w:rFonts w:ascii="Arial" w:hAnsi="Arial"/>
                <w:sz w:val="18"/>
                <w:szCs w:val="18"/>
              </w:rPr>
              <w:t>E-usługi dla obywateli i przedsiębiorców</w:t>
            </w:r>
          </w:p>
        </w:tc>
        <w:tc>
          <w:tcPr>
            <w:tcW w:w="7392" w:type="dxa"/>
            <w:tcBorders>
              <w:top w:val="single" w:sz="4" w:space="0" w:color="000000"/>
              <w:left w:val="single" w:sz="4" w:space="0" w:color="000000"/>
              <w:bottom w:val="single" w:sz="4" w:space="0" w:color="000000"/>
              <w:right w:val="single" w:sz="4" w:space="0" w:color="000000"/>
            </w:tcBorders>
          </w:tcPr>
          <w:p w14:paraId="6FDA6338" w14:textId="77777777" w:rsidR="00C01D25" w:rsidRDefault="008E476A">
            <w:pPr>
              <w:spacing w:after="0" w:line="240" w:lineRule="auto"/>
              <w:rPr>
                <w:rFonts w:ascii="Arial" w:hAnsi="Arial"/>
                <w:sz w:val="18"/>
                <w:szCs w:val="18"/>
              </w:rPr>
            </w:pPr>
            <w:r>
              <w:rPr>
                <w:rFonts w:ascii="Arial" w:hAnsi="Arial"/>
                <w:sz w:val="18"/>
                <w:szCs w:val="18"/>
              </w:rPr>
              <w:t>Nie dotyczy</w:t>
            </w:r>
          </w:p>
        </w:tc>
      </w:tr>
      <w:tr w:rsidR="00C01D25" w14:paraId="376C6067" w14:textId="77777777">
        <w:tc>
          <w:tcPr>
            <w:tcW w:w="485" w:type="dxa"/>
            <w:tcBorders>
              <w:top w:val="single" w:sz="4" w:space="0" w:color="000000"/>
              <w:left w:val="single" w:sz="4" w:space="0" w:color="000000"/>
              <w:bottom w:val="single" w:sz="4" w:space="0" w:color="000000"/>
              <w:right w:val="single" w:sz="4" w:space="0" w:color="000000"/>
            </w:tcBorders>
          </w:tcPr>
          <w:p w14:paraId="04A4F135"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46C6212C" w14:textId="77777777" w:rsidR="00C01D25" w:rsidRDefault="008E476A">
            <w:pPr>
              <w:spacing w:after="0" w:line="240" w:lineRule="auto"/>
              <w:rPr>
                <w:rFonts w:ascii="Arial" w:hAnsi="Arial"/>
                <w:sz w:val="18"/>
                <w:szCs w:val="18"/>
              </w:rPr>
            </w:pPr>
            <w:r>
              <w:rPr>
                <w:rFonts w:ascii="Arial" w:hAnsi="Arial"/>
                <w:sz w:val="18"/>
                <w:szCs w:val="18"/>
              </w:rPr>
              <w:t>Postęp w realizacji strategicznych celów Państwa</w:t>
            </w:r>
          </w:p>
        </w:tc>
        <w:tc>
          <w:tcPr>
            <w:tcW w:w="7392" w:type="dxa"/>
            <w:tcBorders>
              <w:top w:val="single" w:sz="4" w:space="0" w:color="000000"/>
              <w:left w:val="single" w:sz="4" w:space="0" w:color="000000"/>
              <w:bottom w:val="single" w:sz="4" w:space="0" w:color="000000"/>
              <w:right w:val="single" w:sz="4" w:space="0" w:color="000000"/>
            </w:tcBorders>
          </w:tcPr>
          <w:p w14:paraId="39F36130" w14:textId="77777777" w:rsidR="00C01D25" w:rsidRDefault="008E476A">
            <w:pPr>
              <w:spacing w:after="0" w:line="240" w:lineRule="auto"/>
              <w:jc w:val="both"/>
              <w:rPr>
                <w:rFonts w:ascii="Arial" w:hAnsi="Arial"/>
                <w:sz w:val="18"/>
                <w:szCs w:val="18"/>
              </w:rPr>
            </w:pPr>
            <w:r>
              <w:rPr>
                <w:rFonts w:ascii="Arial" w:hAnsi="Arial"/>
                <w:sz w:val="18"/>
                <w:szCs w:val="18"/>
              </w:rPr>
              <w:t>W opisie wskaźników podano wnioskowaną wartość docelową [D] oraz osiągniętą [O].</w:t>
            </w:r>
          </w:p>
          <w:p w14:paraId="48E43DDC" w14:textId="77777777" w:rsidR="00C01D25" w:rsidRDefault="00C01D25">
            <w:pPr>
              <w:spacing w:after="0" w:line="240" w:lineRule="auto"/>
              <w:jc w:val="both"/>
              <w:rPr>
                <w:rFonts w:ascii="Arial" w:hAnsi="Arial"/>
                <w:sz w:val="18"/>
                <w:szCs w:val="18"/>
              </w:rPr>
            </w:pPr>
          </w:p>
          <w:p w14:paraId="77260F70" w14:textId="77777777" w:rsidR="00C01D25" w:rsidRDefault="008E476A">
            <w:pPr>
              <w:spacing w:after="0" w:line="240" w:lineRule="auto"/>
              <w:jc w:val="both"/>
              <w:rPr>
                <w:rFonts w:ascii="Arial" w:hAnsi="Arial"/>
                <w:sz w:val="18"/>
                <w:szCs w:val="18"/>
              </w:rPr>
            </w:pPr>
            <w:r>
              <w:rPr>
                <w:rFonts w:ascii="Arial" w:hAnsi="Arial"/>
                <w:sz w:val="18"/>
                <w:szCs w:val="18"/>
              </w:rPr>
              <w:t>1. Liczba podmiotów, które udostępniły on-line informacje sektora publicznego [szt.] D: 1, O: 1</w:t>
            </w:r>
          </w:p>
          <w:p w14:paraId="0A2B38D2" w14:textId="77777777" w:rsidR="00C01D25" w:rsidRDefault="00C01D25">
            <w:pPr>
              <w:spacing w:after="0" w:line="240" w:lineRule="auto"/>
              <w:jc w:val="both"/>
              <w:rPr>
                <w:rFonts w:ascii="Arial" w:hAnsi="Arial"/>
                <w:sz w:val="18"/>
                <w:szCs w:val="18"/>
              </w:rPr>
            </w:pPr>
          </w:p>
          <w:p w14:paraId="372F90F4" w14:textId="77777777" w:rsidR="00C01D25" w:rsidRDefault="008E476A">
            <w:pPr>
              <w:spacing w:after="0" w:line="240" w:lineRule="auto"/>
              <w:jc w:val="both"/>
              <w:rPr>
                <w:rFonts w:ascii="Arial" w:hAnsi="Arial"/>
                <w:sz w:val="18"/>
                <w:szCs w:val="18"/>
              </w:rPr>
            </w:pPr>
            <w:r>
              <w:rPr>
                <w:rFonts w:ascii="Arial" w:hAnsi="Arial"/>
                <w:sz w:val="18"/>
                <w:szCs w:val="18"/>
              </w:rPr>
              <w:t>2. Liczba zdigitalizowanych dokumentów zawierających informacje sektora publicznego [szt.] D: 39500, O: 40820</w:t>
            </w:r>
          </w:p>
          <w:p w14:paraId="36D8B11D" w14:textId="77777777" w:rsidR="00C01D25" w:rsidRDefault="00C01D25">
            <w:pPr>
              <w:spacing w:after="0" w:line="240" w:lineRule="auto"/>
              <w:jc w:val="both"/>
              <w:rPr>
                <w:rFonts w:ascii="Arial" w:hAnsi="Arial"/>
                <w:sz w:val="18"/>
                <w:szCs w:val="18"/>
              </w:rPr>
            </w:pPr>
          </w:p>
          <w:p w14:paraId="320F8286" w14:textId="77777777" w:rsidR="00C01D25" w:rsidRDefault="008E476A">
            <w:pPr>
              <w:spacing w:after="0" w:line="240" w:lineRule="auto"/>
              <w:jc w:val="both"/>
              <w:rPr>
                <w:rFonts w:ascii="Arial" w:hAnsi="Arial"/>
                <w:sz w:val="18"/>
                <w:szCs w:val="18"/>
              </w:rPr>
            </w:pPr>
            <w:r>
              <w:rPr>
                <w:rFonts w:ascii="Arial" w:hAnsi="Arial"/>
                <w:sz w:val="18"/>
                <w:szCs w:val="18"/>
              </w:rPr>
              <w:t>3. Liczba udostępnionych on-line dokumentów zawierających informacje sektora publicznego [szt.] D: 38500, O: 40264</w:t>
            </w:r>
          </w:p>
          <w:p w14:paraId="180F121E" w14:textId="77777777" w:rsidR="00C01D25" w:rsidRDefault="00C01D25">
            <w:pPr>
              <w:spacing w:after="0" w:line="240" w:lineRule="auto"/>
              <w:jc w:val="both"/>
              <w:rPr>
                <w:rFonts w:ascii="Arial" w:hAnsi="Arial"/>
                <w:sz w:val="18"/>
                <w:szCs w:val="18"/>
              </w:rPr>
            </w:pPr>
          </w:p>
          <w:p w14:paraId="1536CEA9" w14:textId="77777777" w:rsidR="00C01D25" w:rsidRDefault="008E476A">
            <w:pPr>
              <w:spacing w:after="0" w:line="240" w:lineRule="auto"/>
              <w:jc w:val="both"/>
              <w:rPr>
                <w:rFonts w:ascii="Arial" w:hAnsi="Arial"/>
                <w:sz w:val="18"/>
                <w:szCs w:val="18"/>
              </w:rPr>
            </w:pPr>
            <w:r>
              <w:rPr>
                <w:rFonts w:ascii="Arial" w:hAnsi="Arial"/>
                <w:sz w:val="18"/>
                <w:szCs w:val="18"/>
              </w:rPr>
              <w:t>4. Liczba utworzonych API [szt.] D: 4, O: 4</w:t>
            </w:r>
          </w:p>
          <w:p w14:paraId="72A2E0FD" w14:textId="77777777" w:rsidR="00C01D25" w:rsidRDefault="00C01D25">
            <w:pPr>
              <w:spacing w:after="0" w:line="240" w:lineRule="auto"/>
              <w:jc w:val="both"/>
              <w:rPr>
                <w:rFonts w:ascii="Arial" w:hAnsi="Arial"/>
                <w:sz w:val="18"/>
                <w:szCs w:val="18"/>
              </w:rPr>
            </w:pPr>
          </w:p>
          <w:p w14:paraId="6D9E4191" w14:textId="77777777" w:rsidR="00C01D25" w:rsidRDefault="008E476A">
            <w:pPr>
              <w:spacing w:after="0" w:line="240" w:lineRule="auto"/>
              <w:jc w:val="both"/>
              <w:rPr>
                <w:rFonts w:ascii="Arial" w:hAnsi="Arial"/>
                <w:sz w:val="18"/>
                <w:szCs w:val="18"/>
              </w:rPr>
            </w:pPr>
            <w:r>
              <w:rPr>
                <w:rFonts w:ascii="Arial" w:hAnsi="Arial"/>
                <w:sz w:val="18"/>
                <w:szCs w:val="18"/>
              </w:rPr>
              <w:t>5. Liczba baz danych udostępnionych on-line poprzez API [szt.] D: 5, O: 5</w:t>
            </w:r>
          </w:p>
          <w:p w14:paraId="6B465B06" w14:textId="77777777" w:rsidR="00C01D25" w:rsidRDefault="00C01D25">
            <w:pPr>
              <w:spacing w:after="0" w:line="240" w:lineRule="auto"/>
              <w:jc w:val="both"/>
              <w:rPr>
                <w:rFonts w:ascii="Arial" w:hAnsi="Arial"/>
                <w:sz w:val="18"/>
                <w:szCs w:val="18"/>
              </w:rPr>
            </w:pPr>
          </w:p>
          <w:p w14:paraId="051EDF0F" w14:textId="77777777" w:rsidR="00C01D25" w:rsidRDefault="008E476A">
            <w:pPr>
              <w:spacing w:after="0" w:line="240" w:lineRule="auto"/>
              <w:jc w:val="both"/>
              <w:rPr>
                <w:rFonts w:ascii="Arial" w:hAnsi="Arial"/>
                <w:sz w:val="18"/>
                <w:szCs w:val="18"/>
              </w:rPr>
            </w:pPr>
            <w:r>
              <w:rPr>
                <w:rFonts w:ascii="Arial" w:hAnsi="Arial"/>
                <w:sz w:val="18"/>
                <w:szCs w:val="18"/>
              </w:rPr>
              <w:t>6. Liczba pobrań/odtworzeń dokumentów zawierających informacje sektora publicznego [szt.] [wskaźnik do realizacji w ciągu 12 mies. po zakończeniu projektu] Planowana wartość docelowa: 1 500 000</w:t>
            </w:r>
          </w:p>
          <w:p w14:paraId="0C5FE8E4" w14:textId="77777777" w:rsidR="00C01D25" w:rsidRDefault="00C01D25">
            <w:pPr>
              <w:spacing w:after="0" w:line="240" w:lineRule="auto"/>
              <w:jc w:val="both"/>
              <w:rPr>
                <w:rFonts w:ascii="Arial" w:hAnsi="Arial"/>
                <w:sz w:val="18"/>
                <w:szCs w:val="18"/>
              </w:rPr>
            </w:pPr>
          </w:p>
          <w:p w14:paraId="56762D45" w14:textId="77777777" w:rsidR="00C01D25" w:rsidRDefault="008E476A">
            <w:pPr>
              <w:spacing w:after="0" w:line="240" w:lineRule="auto"/>
              <w:jc w:val="both"/>
              <w:rPr>
                <w:rFonts w:ascii="Arial" w:hAnsi="Arial"/>
                <w:sz w:val="18"/>
                <w:szCs w:val="18"/>
              </w:rPr>
            </w:pPr>
            <w:r>
              <w:rPr>
                <w:rFonts w:ascii="Arial" w:hAnsi="Arial"/>
                <w:sz w:val="18"/>
                <w:szCs w:val="18"/>
              </w:rPr>
              <w:t>7. Rozmiar zdigitalizowanej informacji sektora publicznego (TB) D: 90, O: 90,2</w:t>
            </w:r>
          </w:p>
          <w:p w14:paraId="0EB3A3FC" w14:textId="77777777" w:rsidR="00C01D25" w:rsidRDefault="00C01D25">
            <w:pPr>
              <w:spacing w:after="0" w:line="240" w:lineRule="auto"/>
              <w:jc w:val="both"/>
              <w:rPr>
                <w:rFonts w:ascii="Arial" w:hAnsi="Arial"/>
                <w:sz w:val="18"/>
                <w:szCs w:val="18"/>
              </w:rPr>
            </w:pPr>
          </w:p>
          <w:p w14:paraId="1CA6ADF3" w14:textId="77777777" w:rsidR="00C01D25" w:rsidRDefault="008E476A">
            <w:pPr>
              <w:spacing w:after="0" w:line="240" w:lineRule="auto"/>
              <w:jc w:val="both"/>
              <w:rPr>
                <w:rFonts w:ascii="Arial" w:hAnsi="Arial"/>
                <w:sz w:val="18"/>
                <w:szCs w:val="18"/>
              </w:rPr>
            </w:pPr>
            <w:r>
              <w:rPr>
                <w:rFonts w:ascii="Arial" w:hAnsi="Arial"/>
                <w:sz w:val="18"/>
                <w:szCs w:val="18"/>
              </w:rPr>
              <w:t>8. Rozmiar udostępnionych on-line informacji sektora publicznego (TB) D: 25, O: 51,75</w:t>
            </w:r>
          </w:p>
          <w:p w14:paraId="416C0DFB" w14:textId="77777777" w:rsidR="00C01D25" w:rsidRDefault="00C01D25">
            <w:pPr>
              <w:spacing w:after="0" w:line="240" w:lineRule="auto"/>
              <w:jc w:val="both"/>
              <w:rPr>
                <w:rFonts w:ascii="Arial" w:hAnsi="Arial"/>
                <w:sz w:val="18"/>
                <w:szCs w:val="18"/>
              </w:rPr>
            </w:pPr>
          </w:p>
          <w:p w14:paraId="696133B1" w14:textId="77777777" w:rsidR="00C01D25" w:rsidRDefault="008E476A">
            <w:pPr>
              <w:spacing w:after="0" w:line="240" w:lineRule="auto"/>
              <w:jc w:val="both"/>
              <w:rPr>
                <w:rFonts w:ascii="Arial" w:hAnsi="Arial"/>
                <w:sz w:val="18"/>
                <w:szCs w:val="18"/>
              </w:rPr>
            </w:pPr>
            <w:r>
              <w:rPr>
                <w:rFonts w:ascii="Arial" w:hAnsi="Arial"/>
                <w:sz w:val="18"/>
                <w:szCs w:val="18"/>
              </w:rPr>
              <w:t>9. Liczba wygenerowanych kluczy API (szt.) [wskaźnik do realizacji w ciągu 12 mies. po zakończeniu projektu]. Planowana wartość docelowa: 10</w:t>
            </w:r>
          </w:p>
          <w:p w14:paraId="51090184" w14:textId="77777777" w:rsidR="00C01D25" w:rsidRDefault="00C01D25">
            <w:pPr>
              <w:spacing w:after="0" w:line="240" w:lineRule="auto"/>
              <w:jc w:val="both"/>
              <w:rPr>
                <w:rFonts w:ascii="Arial" w:hAnsi="Arial"/>
                <w:sz w:val="18"/>
                <w:szCs w:val="18"/>
              </w:rPr>
            </w:pPr>
          </w:p>
          <w:p w14:paraId="618BF43A" w14:textId="77777777" w:rsidR="00C01D25" w:rsidRDefault="008E476A">
            <w:pPr>
              <w:spacing w:after="0" w:line="240" w:lineRule="auto"/>
              <w:jc w:val="both"/>
              <w:rPr>
                <w:rFonts w:ascii="Arial" w:hAnsi="Arial" w:cs="Arial"/>
                <w:color w:val="000000"/>
                <w:sz w:val="18"/>
                <w:szCs w:val="24"/>
                <w:lang w:eastAsia="pl-PL"/>
              </w:rPr>
            </w:pPr>
            <w:r>
              <w:rPr>
                <w:rFonts w:ascii="Arial" w:hAnsi="Arial"/>
                <w:sz w:val="18"/>
                <w:szCs w:val="18"/>
              </w:rPr>
              <w:t xml:space="preserve">Projekt przyczynia się do osiągnięcia celu szczegółowego nr 4 „Cyfrowa dostępność i użyteczność informacji sektora publicznego w ramach Programu Operacyjnego Polska Cyfrowa na lata 2014-2020”, realizowanego w ramach Osi priorytetowej II. E-administracja i otwarty rząd, Cel szczegółowy 2: Wysoka dostępność i jakość e-usług publicznych, w sposób bezpośredni poprzez m.in.: (1) dostosowanie informacji do formatów umożliwiających odczyt maszynowy, (2) udostępnienie informacji on-line za pomocą profesjonalnych narzędzi, w szczególności interfejsów programistycznych (API) oraz repozytoriów z danymi surowymi, poprawę dostępności ISP zgodnie ze standardami co najmniej WCAG 2.0,  (3) digitalizację ISP, w szczególności zasobów kultury i nauki, budowę lub rozbudowę infrastruktury na potrzeby przechowywania udostępnianych informacji. Projekt bezpośrednio przyczynia się do realizacji wskaźnika rezultatu strategicznego POPC „Odsetek internautów pozytywnie oceniających użyteczność informacji sektora publicznego”. Cel 1. projektu (Digitalizacja zbiorów) jest zgodny z celem szczegółowym 3. Strategii Rozwoju Kapitału Społecznego – Usprawnienie procesów komunikacji społecznej oraz wymiany wiedzy, Priorytet Strategii 3.1. Zwiększanie dostępności informacji i poprawa jakości komunikacji w sferze publicznej, kierunki działań: 3.1.1. Zwiększenie dostępności treści edukacyjnych, naukowych i kulturowych w domenie publicznej, 3.1.2. Ochrona własności intelektualnej i stworzenie warunków umożliwiających eksploatację treści w ramach dozwolonego użytku przewidzianego przepisami prawa poprzez: (1) wykonanie cyfrowych kopii  materiałów przechowywanych w kolekcjach bibliotecznych i archiwalnych </w:t>
            </w:r>
            <w:r>
              <w:rPr>
                <w:rFonts w:ascii="Arial" w:hAnsi="Arial"/>
                <w:sz w:val="18"/>
                <w:szCs w:val="18"/>
              </w:rPr>
              <w:lastRenderedPageBreak/>
              <w:t xml:space="preserve">w celu ochrony tych materiałów oraz dostarczania kopii utworów użytkownikom drogą elektroniczną, (2) uregulowanie kwestii praw autorskich. </w:t>
            </w:r>
            <w:r>
              <w:rPr>
                <w:rFonts w:ascii="Arial" w:hAnsi="Arial" w:cs="Arial"/>
                <w:color w:val="000000"/>
                <w:sz w:val="18"/>
                <w:szCs w:val="24"/>
                <w:lang w:eastAsia="pl-PL"/>
              </w:rPr>
              <w:t>Cel 3 projektu  (Poprawa jakości udostępniania) oraz cel 4 (Zwiększenie możliwości ponownego wykorzystania) są zgodne z założeniami „Strategii na rzecz Odpowiedzialnego Rozwoju” obszar strategii: E-państwo, budowa i   rozwój e - administracji – orientacja administracji państwa na usługi cyfrowe, Działania: Zapewnienie e-usług adekwatnych do realnych potrzeb, zgłaszanych przez obywateli i przedsiębiorców, Zwiększenie dostępu do informacji sektora publicznego, w tym poprzez interfejsy dla programistów (str. 222) poprzez: udostępnienie e-usług na 5 poziomie Star Open Data oraz udostępnienie 5 baz danych API. Cel ogólny projektu (digitalizacja oraz szerokie udostępnienie unikatowej części dziedzictwa Chopinowskiego znajdującego się w zbiorach NIFC) jest zgodny z celem strategicznym Programu Zintegrowanej Informatyzacji Państwa (str. 19): Przejście od administrowania do zarządzania rozwojem, poprzez m.in. wprowadzenie spójnej strategii zarządzania informacją w administracji (wprowadzenie międzynarodowych standardów metadanych) oraz zwiększenie zarówno podaży oczekiwanych przez społeczeństwo wysokiej jakości publicznych e-usług w Polsce, jak i poziomu ich wykorzystania mierzonego odsetkiem obywateli i przedsiębiorców (m.in. za pomocą udostępnienia API, zwiększenia dostępu do zbiorów on-line, poprawę jakości udostępniania, wprowadzenie systemu mierzenia satysfakcji użytkowników i promocję korzystania ze zbiorów on-line).</w:t>
            </w:r>
          </w:p>
          <w:p w14:paraId="512535A7" w14:textId="77777777" w:rsidR="00C01D25" w:rsidRDefault="00C01D25">
            <w:pPr>
              <w:spacing w:after="0" w:line="240" w:lineRule="auto"/>
              <w:jc w:val="both"/>
              <w:rPr>
                <w:rFonts w:ascii="Arial" w:hAnsi="Arial" w:cs="Arial"/>
                <w:color w:val="000000"/>
                <w:sz w:val="18"/>
                <w:szCs w:val="24"/>
                <w:lang w:eastAsia="pl-PL"/>
              </w:rPr>
            </w:pPr>
          </w:p>
          <w:p w14:paraId="1B8826AE" w14:textId="77777777" w:rsidR="00C01D25" w:rsidRDefault="008E476A">
            <w:pPr>
              <w:pStyle w:val="Other0"/>
            </w:pPr>
            <w:r>
              <w:t>Informacje o wskaźnikach i osiągniętych wartościach będą udostępnione w formie raportu z systemu plików dołączanego do wniosku o płatność końcową składanego do CPPC a także w formie załącznika w systemie SL2014.</w:t>
            </w:r>
          </w:p>
          <w:p w14:paraId="5140A0F9" w14:textId="77777777" w:rsidR="00C01D25" w:rsidRDefault="00C01D25">
            <w:pPr>
              <w:spacing w:after="0" w:line="240" w:lineRule="auto"/>
              <w:jc w:val="both"/>
              <w:rPr>
                <w:rFonts w:ascii="Arial" w:hAnsi="Arial"/>
                <w:sz w:val="18"/>
                <w:szCs w:val="18"/>
              </w:rPr>
            </w:pPr>
          </w:p>
        </w:tc>
      </w:tr>
      <w:tr w:rsidR="00C01D25" w14:paraId="1029773C" w14:textId="77777777">
        <w:tc>
          <w:tcPr>
            <w:tcW w:w="485" w:type="dxa"/>
            <w:tcBorders>
              <w:top w:val="single" w:sz="4" w:space="0" w:color="000000"/>
              <w:left w:val="single" w:sz="4" w:space="0" w:color="000000"/>
              <w:bottom w:val="single" w:sz="4" w:space="0" w:color="000000"/>
              <w:right w:val="single" w:sz="4" w:space="0" w:color="000000"/>
            </w:tcBorders>
          </w:tcPr>
          <w:p w14:paraId="53BB1121"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4A8D044A" w14:textId="77777777" w:rsidR="00C01D25" w:rsidRDefault="008E476A">
            <w:pPr>
              <w:spacing w:after="0" w:line="240" w:lineRule="auto"/>
              <w:rPr>
                <w:rFonts w:ascii="Arial" w:hAnsi="Arial"/>
                <w:sz w:val="18"/>
                <w:szCs w:val="18"/>
              </w:rPr>
            </w:pPr>
            <w:r>
              <w:rPr>
                <w:rFonts w:ascii="Arial" w:hAnsi="Arial"/>
                <w:sz w:val="18"/>
                <w:szCs w:val="18"/>
              </w:rPr>
              <w:t>Ryzyka i problemy</w:t>
            </w:r>
          </w:p>
        </w:tc>
        <w:tc>
          <w:tcPr>
            <w:tcW w:w="7392" w:type="dxa"/>
            <w:tcBorders>
              <w:top w:val="single" w:sz="4" w:space="0" w:color="000000"/>
              <w:left w:val="single" w:sz="4" w:space="0" w:color="000000"/>
              <w:bottom w:val="single" w:sz="4" w:space="0" w:color="000000"/>
              <w:right w:val="single" w:sz="4" w:space="0" w:color="000000"/>
            </w:tcBorders>
          </w:tcPr>
          <w:p w14:paraId="1EEA7AE7" w14:textId="77777777" w:rsidR="00C01D25" w:rsidRDefault="008E476A">
            <w:pPr>
              <w:spacing w:after="0" w:line="240" w:lineRule="auto"/>
              <w:jc w:val="both"/>
              <w:rPr>
                <w:rFonts w:ascii="Arial" w:hAnsi="Arial"/>
                <w:sz w:val="18"/>
                <w:szCs w:val="18"/>
              </w:rPr>
            </w:pPr>
            <w:r>
              <w:rPr>
                <w:rFonts w:ascii="Arial" w:hAnsi="Arial"/>
                <w:sz w:val="18"/>
                <w:szCs w:val="18"/>
              </w:rPr>
              <w:t>Podstawowe ryzyka zidentyfikowane w trakcie realizacji projektu to ryzyka organizacyjne, prawne, społeczne oraz technologiczne. Spośród ryzyk organizacyjnych należy wskazać zidentyfikowaną w trakcie realizacji projektu konieczność poprawienia przepływu informacji pomiędzy komórkami zaangażowanymi w realizację projektu. Wynikało to m.in. z potrzeby wdrożenia metodyki wybranej do realizacji projektu. Główne ryzyka prawne dotyczyły kwestii prawa zamówień publicznych. Przewlekłość postępowań wynikająca z faktu, że zamawiający realizował zamówienia z zakresu prac o wysoko specjalistycznym charakterze skutkowała koniecznością modyfikacji części przyjętych założeń harmonogramu oraz planu finansowego. W szczególności problem dotyczył aspektów związanych z zamówieniami na unikatowe rozwiązania technologiczne związane z tworzeniem wyszukiwarki muzycznej oraz renderowaniem partytur online. Ryzyka społeczne, jakie wystąpiły w trakcie realizacji projektu to głównie te związane z sytuacją pandemiczną. Konieczność wprowadzenia pracy częściowo lub całkowicie zdalnej skutkowała koniecznością szybkiego wdrożenia nowych rozwiązań pozwalających efektywnie zarządzać zespołem oraz nadzorować prace wykonawców zewnętrznych. Niestety z uwagi na procedury bezpieczeństwa związane z traktowanie obiektów o szczególnej wartości dla dziedzictwa narodowego (jak autografy czy pierwodruki Chopinowskie) konieczna była zmiana pierwotnego harmonogramu oraz przesuniecie terminu realizacji projektu i wdrożenie planu naprawczego. Ryzyka technologiczne zidentyfikowane w projekcie związane były z koniecznością integrowania różnych systemów informatycznych (w tym m.in. systemu muzealnego), które operują odmiennymi typami metadanych. Dodatkowe ryzyka technologiczne wynikają z faktu realizacji przez NIFC drugiego projektu, którego efekty docelowo mają zostać zintegrowane z efektami projektu Chopinowskiego w portalu muzyki polskiej.</w:t>
            </w:r>
          </w:p>
          <w:p w14:paraId="2479B89A" w14:textId="77777777" w:rsidR="00C01D25" w:rsidRDefault="00C01D25">
            <w:pPr>
              <w:spacing w:after="0" w:line="240" w:lineRule="auto"/>
              <w:jc w:val="both"/>
              <w:rPr>
                <w:rFonts w:ascii="Arial" w:hAnsi="Arial"/>
                <w:sz w:val="18"/>
                <w:szCs w:val="18"/>
              </w:rPr>
            </w:pPr>
          </w:p>
          <w:p w14:paraId="6CABA6C3" w14:textId="77777777" w:rsidR="00C01D25" w:rsidRDefault="008E476A">
            <w:pPr>
              <w:spacing w:after="0" w:line="240" w:lineRule="auto"/>
              <w:jc w:val="both"/>
              <w:rPr>
                <w:rFonts w:ascii="Arial" w:hAnsi="Arial"/>
                <w:sz w:val="18"/>
                <w:szCs w:val="18"/>
              </w:rPr>
            </w:pPr>
            <w:r>
              <w:rPr>
                <w:rFonts w:ascii="Arial" w:hAnsi="Arial"/>
                <w:sz w:val="18"/>
                <w:szCs w:val="18"/>
              </w:rPr>
              <w:t>Ryzyka związane z utrzymaniem trwałości projektu zostały zminimalizowane już na etapie składania wniosku, bowiem projekt jako całość stał się jednym z głównych elementów strategii digitalizacji i udostępniania zasobów NIFC. Zatem utrzymanie efektów stanowi obecnie priorytet dla instytucji.</w:t>
            </w:r>
          </w:p>
        </w:tc>
      </w:tr>
      <w:tr w:rsidR="00C01D25" w14:paraId="08731CA6" w14:textId="77777777">
        <w:tc>
          <w:tcPr>
            <w:tcW w:w="485" w:type="dxa"/>
            <w:tcBorders>
              <w:top w:val="single" w:sz="4" w:space="0" w:color="000000"/>
              <w:left w:val="single" w:sz="4" w:space="0" w:color="000000"/>
              <w:bottom w:val="single" w:sz="4" w:space="0" w:color="000000"/>
              <w:right w:val="single" w:sz="4" w:space="0" w:color="000000"/>
            </w:tcBorders>
          </w:tcPr>
          <w:p w14:paraId="21CFFDF5"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434E6C95" w14:textId="77777777" w:rsidR="00C01D25" w:rsidRDefault="008E476A">
            <w:pPr>
              <w:spacing w:after="0" w:line="240" w:lineRule="auto"/>
              <w:rPr>
                <w:rFonts w:ascii="Arial" w:hAnsi="Arial"/>
                <w:sz w:val="18"/>
                <w:szCs w:val="18"/>
              </w:rPr>
            </w:pPr>
            <w:r>
              <w:rPr>
                <w:rFonts w:ascii="Arial" w:hAnsi="Arial"/>
                <w:sz w:val="18"/>
                <w:szCs w:val="18"/>
              </w:rPr>
              <w:t xml:space="preserve">Uzyskane korzyści </w:t>
            </w:r>
          </w:p>
        </w:tc>
        <w:tc>
          <w:tcPr>
            <w:tcW w:w="7392" w:type="dxa"/>
            <w:tcBorders>
              <w:top w:val="single" w:sz="4" w:space="0" w:color="000000"/>
              <w:left w:val="single" w:sz="4" w:space="0" w:color="000000"/>
              <w:bottom w:val="single" w:sz="4" w:space="0" w:color="000000"/>
              <w:right w:val="single" w:sz="4" w:space="0" w:color="000000"/>
            </w:tcBorders>
          </w:tcPr>
          <w:p w14:paraId="32A85C08" w14:textId="77777777" w:rsidR="00C01D25" w:rsidRDefault="008E476A">
            <w:pPr>
              <w:spacing w:after="0" w:line="240" w:lineRule="auto"/>
              <w:jc w:val="both"/>
              <w:rPr>
                <w:rFonts w:ascii="Arial" w:hAnsi="Arial"/>
                <w:sz w:val="18"/>
                <w:szCs w:val="18"/>
              </w:rPr>
            </w:pPr>
            <w:r>
              <w:rPr>
                <w:rFonts w:ascii="Arial" w:hAnsi="Arial"/>
                <w:bCs/>
                <w:sz w:val="18"/>
                <w:szCs w:val="18"/>
              </w:rPr>
              <w:t>Badanie potrzeb grup docelowych zostało zrealizowane w lutym 2017 za pomocą ankiety internetowej na próbie N=428. Zidentyfikowano następujące potrzeby wspólne dla wszystkich grup.</w:t>
            </w:r>
          </w:p>
          <w:p w14:paraId="7FDF78D1" w14:textId="77777777" w:rsidR="00C01D25" w:rsidRDefault="008E476A">
            <w:pPr>
              <w:spacing w:after="0" w:line="240" w:lineRule="auto"/>
              <w:jc w:val="both"/>
              <w:rPr>
                <w:rFonts w:ascii="Arial" w:hAnsi="Arial"/>
                <w:sz w:val="18"/>
                <w:szCs w:val="18"/>
              </w:rPr>
            </w:pPr>
            <w:r>
              <w:rPr>
                <w:rFonts w:ascii="Arial" w:hAnsi="Arial"/>
                <w:sz w:val="18"/>
                <w:szCs w:val="18"/>
              </w:rPr>
              <w:t>1. powszechny dostęp do Dziedzictwa Chopinowskiego,</w:t>
            </w:r>
          </w:p>
          <w:p w14:paraId="3B2AE8EE" w14:textId="77777777" w:rsidR="00C01D25" w:rsidRDefault="008E476A">
            <w:pPr>
              <w:spacing w:after="0" w:line="240" w:lineRule="auto"/>
              <w:jc w:val="both"/>
              <w:rPr>
                <w:rFonts w:ascii="Arial" w:hAnsi="Arial"/>
                <w:sz w:val="18"/>
                <w:szCs w:val="18"/>
              </w:rPr>
            </w:pPr>
            <w:r>
              <w:rPr>
                <w:rFonts w:ascii="Arial" w:hAnsi="Arial"/>
                <w:sz w:val="18"/>
                <w:szCs w:val="18"/>
              </w:rPr>
              <w:t>2. dostęp on-line do zasobów NIFC,</w:t>
            </w:r>
          </w:p>
          <w:p w14:paraId="7836C7CD" w14:textId="77777777" w:rsidR="00C01D25" w:rsidRDefault="008E476A">
            <w:pPr>
              <w:spacing w:after="0" w:line="240" w:lineRule="auto"/>
              <w:jc w:val="both"/>
              <w:rPr>
                <w:rFonts w:ascii="Arial" w:hAnsi="Arial"/>
                <w:sz w:val="18"/>
                <w:szCs w:val="18"/>
              </w:rPr>
            </w:pPr>
            <w:r>
              <w:rPr>
                <w:rFonts w:ascii="Arial" w:hAnsi="Arial"/>
                <w:sz w:val="18"/>
                <w:szCs w:val="18"/>
              </w:rPr>
              <w:t>3. dostęp on-line niezależnie od używanego systemu operacyjnego,</w:t>
            </w:r>
          </w:p>
          <w:p w14:paraId="689BFF67" w14:textId="77777777" w:rsidR="00C01D25" w:rsidRDefault="008E476A">
            <w:pPr>
              <w:spacing w:after="0" w:line="240" w:lineRule="auto"/>
              <w:jc w:val="both"/>
              <w:rPr>
                <w:rFonts w:ascii="Arial" w:hAnsi="Arial"/>
                <w:sz w:val="18"/>
                <w:szCs w:val="18"/>
              </w:rPr>
            </w:pPr>
            <w:r>
              <w:rPr>
                <w:rFonts w:ascii="Arial" w:hAnsi="Arial"/>
                <w:sz w:val="18"/>
                <w:szCs w:val="18"/>
              </w:rPr>
              <w:t>4. tworzenie aplikacji edukacyjnych i muzycznych,</w:t>
            </w:r>
          </w:p>
          <w:p w14:paraId="43A1FD0B" w14:textId="77777777" w:rsidR="00C01D25" w:rsidRDefault="008E476A">
            <w:pPr>
              <w:spacing w:after="0" w:line="240" w:lineRule="auto"/>
              <w:jc w:val="both"/>
              <w:rPr>
                <w:rFonts w:ascii="Arial" w:hAnsi="Arial"/>
                <w:sz w:val="18"/>
                <w:szCs w:val="18"/>
              </w:rPr>
            </w:pPr>
            <w:r>
              <w:rPr>
                <w:rFonts w:ascii="Arial" w:hAnsi="Arial"/>
                <w:sz w:val="18"/>
                <w:szCs w:val="18"/>
              </w:rPr>
              <w:t>5. możliwość pobierania materiałów na własny nośnik,</w:t>
            </w:r>
          </w:p>
          <w:p w14:paraId="387554AE" w14:textId="77777777" w:rsidR="00C01D25" w:rsidRDefault="008E476A">
            <w:pPr>
              <w:spacing w:after="0" w:line="240" w:lineRule="auto"/>
              <w:jc w:val="both"/>
              <w:rPr>
                <w:rFonts w:ascii="Arial" w:hAnsi="Arial"/>
                <w:sz w:val="18"/>
                <w:szCs w:val="18"/>
              </w:rPr>
            </w:pPr>
            <w:r>
              <w:rPr>
                <w:rFonts w:ascii="Arial" w:hAnsi="Arial"/>
                <w:sz w:val="18"/>
                <w:szCs w:val="18"/>
              </w:rPr>
              <w:t>6. dostęp do różnych wersji jednego utworu i możliwość obserwowania różnic między nimi,</w:t>
            </w:r>
          </w:p>
          <w:p w14:paraId="083E6E35" w14:textId="77777777" w:rsidR="00C01D25" w:rsidRDefault="008E476A">
            <w:pPr>
              <w:spacing w:after="0" w:line="240" w:lineRule="auto"/>
              <w:jc w:val="both"/>
              <w:rPr>
                <w:rFonts w:ascii="Arial" w:hAnsi="Arial"/>
                <w:sz w:val="18"/>
                <w:szCs w:val="18"/>
              </w:rPr>
            </w:pPr>
            <w:r>
              <w:rPr>
                <w:rFonts w:ascii="Arial" w:hAnsi="Arial"/>
                <w:sz w:val="18"/>
                <w:szCs w:val="18"/>
              </w:rPr>
              <w:t>7. możliwość pobierania plików w różnych formatach,</w:t>
            </w:r>
          </w:p>
          <w:p w14:paraId="5E16964F" w14:textId="77777777" w:rsidR="00C01D25" w:rsidRDefault="008E476A">
            <w:pPr>
              <w:spacing w:after="0" w:line="240" w:lineRule="auto"/>
              <w:jc w:val="both"/>
              <w:rPr>
                <w:rFonts w:ascii="Arial" w:hAnsi="Arial"/>
                <w:sz w:val="18"/>
                <w:szCs w:val="18"/>
              </w:rPr>
            </w:pPr>
            <w:r>
              <w:rPr>
                <w:rFonts w:ascii="Arial" w:hAnsi="Arial"/>
                <w:sz w:val="18"/>
                <w:szCs w:val="18"/>
              </w:rPr>
              <w:t>8. możliwość prostego wyszukiwania i wyszukiwania poprzez melodię.</w:t>
            </w:r>
          </w:p>
          <w:p w14:paraId="2391313D" w14:textId="77777777" w:rsidR="00C01D25" w:rsidRDefault="00C01D25">
            <w:pPr>
              <w:spacing w:after="0" w:line="240" w:lineRule="auto"/>
              <w:jc w:val="both"/>
              <w:rPr>
                <w:rFonts w:ascii="Arial" w:hAnsi="Arial"/>
                <w:sz w:val="18"/>
                <w:szCs w:val="18"/>
              </w:rPr>
            </w:pPr>
          </w:p>
          <w:p w14:paraId="141AB127" w14:textId="77777777" w:rsidR="00C01D25" w:rsidRDefault="008E476A">
            <w:pPr>
              <w:spacing w:after="0" w:line="240" w:lineRule="auto"/>
              <w:jc w:val="both"/>
              <w:rPr>
                <w:rFonts w:ascii="Arial" w:hAnsi="Arial"/>
                <w:sz w:val="18"/>
                <w:szCs w:val="18"/>
              </w:rPr>
            </w:pPr>
            <w:r>
              <w:rPr>
                <w:rFonts w:ascii="Arial" w:hAnsi="Arial"/>
                <w:sz w:val="18"/>
                <w:szCs w:val="18"/>
              </w:rPr>
              <w:t xml:space="preserve">Powyższe potrzeby realizowane są poprzez publikację treści oraz sposób budowy i funkcjonalności portalu a także narzędzi pozwalających renderować partytury cyfrowe oraz </w:t>
            </w:r>
            <w:r>
              <w:rPr>
                <w:rFonts w:ascii="Arial" w:hAnsi="Arial"/>
                <w:sz w:val="18"/>
                <w:szCs w:val="18"/>
              </w:rPr>
              <w:lastRenderedPageBreak/>
              <w:t>przeszukiwać treść muzyczną. Portal pozwala uzyskać powszechny dostęp do dziedzictwa Chopinowskiego ponieważ nie posiada ograniczeń w postaci wymogów logowania oraz dostępny jest bez ograniczeń terytorialnych bądź prawnych. Z uwagi na ilość zasobów udostępnionych w portalu oraz systemie prezentacji partytur cyfrowych zrealizowano założenia projektu dotyczące publikacji zasobów NIFC. Dostęp ten jest niezależny od używanego systemu operacyjnego, bowiem portal oraz wyszukiwarka muzyczna wraz z systemem renderowania partytur działają na wszystkich popularnych przeglądarkach internetowych. Ponadto nie jest wymagane instalowanie żadnego dodatkowego oprogramowania do wyświetlania i wyszukiwania treści. Zarówno ISP publikowane w portalu jak i wszystkie partytury cyfrowe można pobrać na własny nośnik. System renderowania partytur pozwala nie tylko na wizualizowanie danych muzycznych poprzez wyświetlanie m.in. modelu analizy harmonicznej ale także statystykę wystąpień poszczególnych dźwięków czy model strukturalny utworu. Możliwe jest pobranie plików transkrypcji w różnych formatach w tym także w najpopularniejszym formacie MusicXML pozwalającym na otwarcie partytury w każdym z najpopularniejszych edytorów muzycznych. System pozwala także wyszukiwać treść utworu poprzez rytm lub melodię oraz filtrować wyniki według gatunków, wydawców czy numerów opusowych. Jedną z ważniejszych korzyści uzyskanych dzięki realizacji projektu jest zwiększenie łatwości przeszukiwania zasobów własnych. Jest to możliwe nie tylko w wyszukiwarce ogólnodostępnej w portalu, ale także w wewnętrznej wyszukiwarce repozytorium przechowującego oryginalne pliki. Osiągnięto także spójność wewnętrzną danych i metadanych poprzez dokładną weryfikację jakości plików umieszczanych w repozytorium. Dzięki temu usunięto zbędne duplikaty plików oraz zapewniono lepszą kontrolę nad przepływem pracy nad plikami archiwizacyjnymi. Osiągnięto także możliwość udostępniania danych i metadanych w systemach agregujących bazy danych.</w:t>
            </w:r>
          </w:p>
          <w:p w14:paraId="5F0ADD4A" w14:textId="77777777" w:rsidR="00C01D25" w:rsidRDefault="00C01D25">
            <w:pPr>
              <w:spacing w:after="0" w:line="240" w:lineRule="auto"/>
              <w:jc w:val="both"/>
              <w:rPr>
                <w:bCs/>
              </w:rPr>
            </w:pPr>
          </w:p>
          <w:p w14:paraId="3ED83B98" w14:textId="77777777" w:rsidR="00C01D25" w:rsidRDefault="008E476A">
            <w:pPr>
              <w:spacing w:after="0" w:line="240" w:lineRule="auto"/>
              <w:jc w:val="both"/>
            </w:pPr>
            <w:r>
              <w:rPr>
                <w:rFonts w:ascii="Arial" w:hAnsi="Arial"/>
                <w:bCs/>
                <w:sz w:val="18"/>
                <w:szCs w:val="18"/>
              </w:rPr>
              <w:t>Wykorzystanie efektów projektu mierzone będzie na podstawie liczby pobrań/odtworzeń a także wygenerowanych kluczy API w okresie 12 miesięcy po zakończeniu projektu a także w okresie trwałości. Źródło informacji o wskaźniku pobrań/odtworzeń: dane beneficjenta zawarte w sprawozdaniu składanym na  po zakończeniu pierwszego roku trwałości projektu (2022) oraz potwierdzenie utrzymania wskaźnika w raportach składanych rocznie w kolejnych latach trwałości projektu (2022-2026). Sposób dokonywania pomiaru: dane z Google Analitycs. Źródło informacji o wskaźniku wygenerowanych kluczy API: dane beneficjenta zawarte w sprawozdaniu składanym na  po zakończeniu pierwszego roku trwałości projektu (2022) Potwierdzenie utrzymania wskaźnika w raportach składanych rocznie w kolejnych latach trwałości projektu (2022-2026). Sposób pomiaru: Raport wygenerowany z systemu do zarządzania centralną bazą danych.</w:t>
            </w:r>
          </w:p>
        </w:tc>
      </w:tr>
      <w:tr w:rsidR="00C01D25" w14:paraId="1CA7C9F0" w14:textId="77777777">
        <w:tc>
          <w:tcPr>
            <w:tcW w:w="485" w:type="dxa"/>
            <w:tcBorders>
              <w:top w:val="single" w:sz="4" w:space="0" w:color="000000"/>
              <w:left w:val="single" w:sz="4" w:space="0" w:color="000000"/>
              <w:bottom w:val="single" w:sz="4" w:space="0" w:color="000000"/>
              <w:right w:val="single" w:sz="4" w:space="0" w:color="000000"/>
            </w:tcBorders>
          </w:tcPr>
          <w:p w14:paraId="431ECB65"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0F6DB949" w14:textId="77777777" w:rsidR="00C01D25" w:rsidRDefault="008E476A">
            <w:pPr>
              <w:spacing w:after="0" w:line="240" w:lineRule="auto"/>
              <w:rPr>
                <w:rFonts w:ascii="Arial" w:hAnsi="Arial"/>
                <w:sz w:val="18"/>
                <w:szCs w:val="18"/>
              </w:rPr>
            </w:pPr>
            <w:r>
              <w:rPr>
                <w:rFonts w:ascii="Arial" w:hAnsi="Arial"/>
                <w:sz w:val="18"/>
                <w:szCs w:val="18"/>
              </w:rPr>
              <w:t>E-usługi i rejestry z jakimi zintegrował się wytworzony system w ramach realizacji projektu</w:t>
            </w:r>
            <w:bookmarkStart w:id="0" w:name="_GoBack"/>
            <w:bookmarkEnd w:id="0"/>
          </w:p>
        </w:tc>
        <w:tc>
          <w:tcPr>
            <w:tcW w:w="7392" w:type="dxa"/>
            <w:tcBorders>
              <w:top w:val="single" w:sz="4" w:space="0" w:color="000000"/>
              <w:left w:val="single" w:sz="4" w:space="0" w:color="000000"/>
              <w:bottom w:val="single" w:sz="4" w:space="0" w:color="000000"/>
              <w:right w:val="single" w:sz="4" w:space="0" w:color="000000"/>
            </w:tcBorders>
          </w:tcPr>
          <w:p w14:paraId="7F69E5F4" w14:textId="77777777" w:rsidR="00C01D25" w:rsidRDefault="008E476A">
            <w:pPr>
              <w:spacing w:after="0" w:line="240" w:lineRule="auto"/>
              <w:jc w:val="both"/>
              <w:rPr>
                <w:rFonts w:ascii="Arial" w:hAnsi="Arial"/>
                <w:sz w:val="18"/>
                <w:szCs w:val="18"/>
              </w:rPr>
            </w:pPr>
            <w:r>
              <w:rPr>
                <w:rFonts w:ascii="Arial" w:hAnsi="Arial"/>
                <w:sz w:val="18"/>
                <w:szCs w:val="18"/>
              </w:rPr>
              <w:t>Nie dotyczy</w:t>
            </w:r>
          </w:p>
        </w:tc>
      </w:tr>
      <w:tr w:rsidR="00C01D25" w14:paraId="1E26EF06" w14:textId="77777777">
        <w:tc>
          <w:tcPr>
            <w:tcW w:w="485" w:type="dxa"/>
            <w:tcBorders>
              <w:top w:val="single" w:sz="4" w:space="0" w:color="000000"/>
              <w:left w:val="single" w:sz="4" w:space="0" w:color="000000"/>
              <w:bottom w:val="single" w:sz="4" w:space="0" w:color="000000"/>
              <w:right w:val="single" w:sz="4" w:space="0" w:color="000000"/>
            </w:tcBorders>
          </w:tcPr>
          <w:p w14:paraId="6BFABF3F"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0D87C389" w14:textId="77777777" w:rsidR="00C01D25" w:rsidRDefault="008E476A">
            <w:pPr>
              <w:spacing w:after="0" w:line="240" w:lineRule="auto"/>
              <w:rPr>
                <w:rFonts w:ascii="Arial" w:hAnsi="Arial"/>
                <w:sz w:val="18"/>
                <w:szCs w:val="18"/>
              </w:rPr>
            </w:pPr>
            <w:r>
              <w:rPr>
                <w:rFonts w:ascii="Arial" w:hAnsi="Arial"/>
                <w:sz w:val="18"/>
                <w:szCs w:val="18"/>
              </w:rPr>
              <w:t>Zapewnienie utrzymania projektu (w okresie trwałości)</w:t>
            </w:r>
          </w:p>
        </w:tc>
        <w:tc>
          <w:tcPr>
            <w:tcW w:w="7392" w:type="dxa"/>
            <w:tcBorders>
              <w:top w:val="single" w:sz="4" w:space="0" w:color="000000"/>
              <w:left w:val="single" w:sz="4" w:space="0" w:color="000000"/>
              <w:bottom w:val="single" w:sz="4" w:space="0" w:color="000000"/>
              <w:right w:val="single" w:sz="4" w:space="0" w:color="000000"/>
            </w:tcBorders>
          </w:tcPr>
          <w:p w14:paraId="2C6504C2" w14:textId="77777777" w:rsidR="00C01D25" w:rsidRDefault="008E476A">
            <w:pPr>
              <w:spacing w:after="0" w:line="240" w:lineRule="auto"/>
              <w:jc w:val="both"/>
              <w:rPr>
                <w:rFonts w:ascii="Arial" w:hAnsi="Arial"/>
                <w:bCs/>
                <w:sz w:val="18"/>
                <w:szCs w:val="18"/>
              </w:rPr>
            </w:pPr>
            <w:r>
              <w:rPr>
                <w:rFonts w:ascii="Arial" w:hAnsi="Arial"/>
                <w:bCs/>
                <w:sz w:val="18"/>
                <w:szCs w:val="18"/>
              </w:rPr>
              <w:t>Za realizację projektu i utrzymanie jego trwałości w okresie co najmniej 5 lat (2021-2026) odpowiadać będzie Narodowy Instytut Fryderyka Chopina oraz jego poszczególne działy. Za monitorowanie utrzymania produktów i rezultatów projektu odpowiedzialny będzie Komitet Sterujący pod przewodnictwem Dyrektora NIFC, pełniącego nadzór nad Kierownikiem Projektu. Odpowiedzialność za infrastrukturę informatyczną i oprogramowanie w okresie trwałości projektu będzie przypisana Zespołowi ds. obsługi informatycznej. Dział Informatyczny będzie miał za zadanie wspieranie Muzeum oraz Biblioteki w utrzymaniu wdrożonego systemu, monitorowaniu dostępności i użyteczności udostępnionych produktów digitalizacji a także weryfikacji zgodności z przepisami w zakresie interoperacyjności. Zewnętrzny dział Prawny będzie wspierał NIFC w utrzymaniu trwałości projektu pod kątem prawnym, w szczególności poprawności realizacji modelu prawnego udostępnienia zasobów. Praca zespołu projektowego będzie finansowana ze środków własnych NIFC. NIFC dysponuje zasobami wystarczającymi na sfinansowanie efektów projektu. Koszty utrzymania projektu w okresie trwałości zostaną sfinansowane wkładem własnym generowanym z przychodów z działalności dodatkowej Instytutu.</w:t>
            </w:r>
          </w:p>
          <w:p w14:paraId="3A7463D6" w14:textId="77777777" w:rsidR="00C01D25" w:rsidRDefault="008E476A">
            <w:pPr>
              <w:spacing w:after="0" w:line="240" w:lineRule="auto"/>
              <w:jc w:val="both"/>
            </w:pPr>
            <w:r>
              <w:rPr>
                <w:rFonts w:ascii="Arial" w:hAnsi="Arial"/>
                <w:bCs/>
                <w:sz w:val="18"/>
                <w:szCs w:val="18"/>
              </w:rPr>
              <w:t>.</w:t>
            </w:r>
          </w:p>
        </w:tc>
      </w:tr>
      <w:tr w:rsidR="00C01D25" w14:paraId="44A8E498" w14:textId="77777777">
        <w:tc>
          <w:tcPr>
            <w:tcW w:w="485" w:type="dxa"/>
            <w:tcBorders>
              <w:top w:val="single" w:sz="4" w:space="0" w:color="000000"/>
              <w:left w:val="single" w:sz="4" w:space="0" w:color="000000"/>
              <w:bottom w:val="single" w:sz="4" w:space="0" w:color="000000"/>
              <w:right w:val="single" w:sz="4" w:space="0" w:color="000000"/>
            </w:tcBorders>
          </w:tcPr>
          <w:p w14:paraId="56AC6A55" w14:textId="77777777" w:rsidR="00C01D25" w:rsidRDefault="00C01D25">
            <w:pPr>
              <w:pStyle w:val="Akapitzlist"/>
              <w:numPr>
                <w:ilvl w:val="0"/>
                <w:numId w:val="1"/>
              </w:numPr>
              <w:spacing w:after="0" w:line="240" w:lineRule="auto"/>
              <w:rPr>
                <w:rFonts w:ascii="Arial" w:hAnsi="Arial"/>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2F781EB7" w14:textId="77777777" w:rsidR="00C01D25" w:rsidRDefault="008E476A">
            <w:pPr>
              <w:spacing w:after="0" w:line="240" w:lineRule="auto"/>
              <w:rPr>
                <w:rFonts w:ascii="Arial" w:hAnsi="Arial"/>
                <w:sz w:val="18"/>
                <w:szCs w:val="18"/>
              </w:rPr>
            </w:pPr>
            <w:r>
              <w:rPr>
                <w:rFonts w:ascii="Arial" w:hAnsi="Arial"/>
                <w:sz w:val="18"/>
                <w:szCs w:val="18"/>
              </w:rPr>
              <w:t>Doświadczenia związane z realizacją projektu</w:t>
            </w:r>
          </w:p>
        </w:tc>
        <w:tc>
          <w:tcPr>
            <w:tcW w:w="7392" w:type="dxa"/>
            <w:tcBorders>
              <w:top w:val="single" w:sz="4" w:space="0" w:color="000000"/>
              <w:left w:val="single" w:sz="4" w:space="0" w:color="000000"/>
              <w:bottom w:val="single" w:sz="4" w:space="0" w:color="000000"/>
              <w:right w:val="single" w:sz="4" w:space="0" w:color="000000"/>
            </w:tcBorders>
          </w:tcPr>
          <w:p w14:paraId="2E3F122C" w14:textId="77777777" w:rsidR="00C01D25" w:rsidRDefault="008E476A">
            <w:pPr>
              <w:spacing w:after="0" w:line="240" w:lineRule="auto"/>
              <w:jc w:val="both"/>
              <w:rPr>
                <w:rFonts w:ascii="Arial" w:hAnsi="Arial"/>
                <w:sz w:val="18"/>
                <w:szCs w:val="18"/>
              </w:rPr>
            </w:pPr>
            <w:r>
              <w:rPr>
                <w:rFonts w:ascii="Arial" w:hAnsi="Arial"/>
                <w:bCs/>
                <w:sz w:val="18"/>
                <w:szCs w:val="18"/>
              </w:rPr>
              <w:t xml:space="preserve">Najważniejsze doświadczenia wynikające z realizacji projektu dotyczą aspektów zarządczych oraz związanych z wdrażaniem dobrych praktyk a także tworzeniu odpowiednich „workflows” w zakresie realizacji poszczególnych zadań. Istotną trudnością, która dotyczy aspektów zarządczych jest konieczność z jednej strony stosowania metodyk zwinnych zarządzania, z drugiej zaś zastane kaskadowe metody zarządcze. Skuteczna realizacja projektu wymaga wprowadzenia istotnych zmian dotyczących tradycyjnych relacji pomiędzy zespołami zaangażowanymi w realizację projektu. Problem metodyki dotyczy pośrednio także samego sposobu rozliczania projektu, bowiem jest rzeczą trudną realizowanie założeń metodyki zwinnej przy jednocześnie dość sztywno zakreślonych </w:t>
            </w:r>
            <w:r>
              <w:rPr>
                <w:rFonts w:ascii="Arial" w:hAnsi="Arial"/>
                <w:bCs/>
                <w:sz w:val="18"/>
                <w:szCs w:val="18"/>
              </w:rPr>
              <w:lastRenderedPageBreak/>
              <w:t>ramach harmonogramu oraz wartościach wskaźników. Bez wątpienia pozytywnie oddziałującym na działanie instytucji jako całości jest wdrażanie metodyki zwinnej, które niejako wymuszone jest poprzez realizację projektu. Istotnym pozytywnym aspektem jest także wypracowanie bądź wdrożenie istniejących dobrych praktyk w zakresie digitalizacji. Dotyczy to w szczególności procesów odbioru prac wykonywanych przez wykonawców zewnętrznych oraz oceny ich jakości za pomocą standaryzowanych narzędzi. Należy zwrócić uwagę, że czynnikiem, który w znacznym stopniu ułatwiłby pracę przy realizacji takich projektów byłoby wprowadzenie rozwiązań systemowych na poziomie ogólnym. Dotyczy to zwłaszcza ogólnodostępnego instytucjom realizującym projekty systemu pozwalającego nie tylko na rozliczanie (jak SL2014) ale przede wszystkim umożliwiającego skuteczne zarządzanie zgodnie z przyjętą metodyką. Obecnie dostępne na rynku rozwiązania Open-Source lub komercyjne bywają znakomicie dostosowane do założeń metodyk zwinnych, ale niestety zupełnie nie uwzględniają otoczenia prawnego. Wydaje się, że stworzenie odpowiednich rozwiązań informatycznych dla beneficjentów znacznie ułatwiłoby realizację tego typu projektów co mogłoby się przyczynić do skuteczniejszego wykorzystania środków wspólnotowych. Na podstawie doświadczeń w realizacji projektu NIFC przygotował i przekazał do MKDNiS swoje propozycje w tym zakresie.</w:t>
            </w:r>
          </w:p>
        </w:tc>
      </w:tr>
    </w:tbl>
    <w:p w14:paraId="1E56876B" w14:textId="77777777" w:rsidR="00C01D25" w:rsidRDefault="00C01D25">
      <w:pPr>
        <w:rPr>
          <w:rFonts w:ascii="Arial" w:hAnsi="Arial"/>
          <w:sz w:val="18"/>
          <w:szCs w:val="18"/>
        </w:rPr>
      </w:pPr>
    </w:p>
    <w:sectPr w:rsidR="00C01D25">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13FEF"/>
    <w:multiLevelType w:val="multilevel"/>
    <w:tmpl w:val="0EB6B7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0E0D7B"/>
    <w:multiLevelType w:val="multilevel"/>
    <w:tmpl w:val="948E88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33697A38"/>
    <w:multiLevelType w:val="hybridMultilevel"/>
    <w:tmpl w:val="10C00B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415348F"/>
    <w:multiLevelType w:val="multilevel"/>
    <w:tmpl w:val="430ECE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6ABA3B0B"/>
    <w:multiLevelType w:val="multilevel"/>
    <w:tmpl w:val="ABE26CF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D25"/>
    <w:rsid w:val="000B193C"/>
    <w:rsid w:val="001426EE"/>
    <w:rsid w:val="008E476A"/>
    <w:rsid w:val="00A10D71"/>
    <w:rsid w:val="00AA6DEE"/>
    <w:rsid w:val="00C01D25"/>
    <w:rsid w:val="00C4795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ECBD3"/>
  <w15:docId w15:val="{081A5D17-CE42-443C-83D2-DD5FE5F2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qFormat/>
    <w:rsid w:val="00813FEF"/>
    <w:rPr>
      <w:sz w:val="16"/>
      <w:szCs w:val="16"/>
    </w:rPr>
  </w:style>
  <w:style w:type="character" w:customStyle="1" w:styleId="TekstkomentarzaZnak">
    <w:name w:val="Tekst komentarza Znak"/>
    <w:basedOn w:val="Domylnaczcionkaakapitu"/>
    <w:link w:val="Tekstkomentarza"/>
    <w:uiPriority w:val="99"/>
    <w:semiHidden/>
    <w:qFormat/>
    <w:rsid w:val="00813FEF"/>
    <w:rPr>
      <w:sz w:val="20"/>
      <w:szCs w:val="20"/>
    </w:rPr>
  </w:style>
  <w:style w:type="character" w:customStyle="1" w:styleId="czeinternetowe">
    <w:name w:val="Łącze internetowe"/>
    <w:rPr>
      <w:color w:val="000080"/>
      <w:u w:val="single"/>
    </w:rPr>
  </w:style>
  <w:style w:type="character" w:customStyle="1" w:styleId="TematkomentarzaZnak">
    <w:name w:val="Temat komentarza Znak"/>
    <w:basedOn w:val="TekstkomentarzaZnak"/>
    <w:link w:val="Tematkomentarza"/>
    <w:uiPriority w:val="99"/>
    <w:semiHidden/>
    <w:qFormat/>
    <w:rsid w:val="00B379FD"/>
    <w:rPr>
      <w:b/>
      <w:bCs/>
      <w:sz w:val="20"/>
      <w:szCs w:val="20"/>
    </w:rPr>
  </w:style>
  <w:style w:type="character" w:customStyle="1" w:styleId="Style11ptBlueUnderline">
    <w:name w:val="Style 11 pt Blue Underline"/>
    <w:basedOn w:val="Domylnaczcionkaakapitu"/>
    <w:qFormat/>
    <w:rsid w:val="00330CD3"/>
    <w:rPr>
      <w:rFonts w:ascii="Arial" w:hAnsi="Arial"/>
      <w:color w:val="0070C0"/>
      <w:sz w:val="22"/>
      <w:u w:val="single"/>
    </w:rPr>
  </w:style>
  <w:style w:type="character" w:customStyle="1" w:styleId="Other">
    <w:name w:val="Other_"/>
    <w:basedOn w:val="Domylnaczcionkaakapitu"/>
    <w:link w:val="Other0"/>
    <w:qFormat/>
    <w:rsid w:val="00916301"/>
    <w:rPr>
      <w:rFonts w:ascii="Calibri" w:eastAsia="Calibri" w:hAnsi="Calibri" w:cs="Calibri"/>
      <w:sz w:val="18"/>
      <w:szCs w:val="18"/>
    </w:rPr>
  </w:style>
  <w:style w:type="paragraph" w:styleId="Nagwek">
    <w:name w:val="header"/>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qFormat/>
    <w:rsid w:val="004D135D"/>
    <w:pPr>
      <w:spacing w:after="0" w:line="240" w:lineRule="auto"/>
    </w:pPr>
    <w:rPr>
      <w:rFonts w:ascii="Times New Roman" w:hAnsi="Times New Roman" w:cs="Times New Roman"/>
      <w:sz w:val="18"/>
      <w:szCs w:val="18"/>
    </w:rPr>
  </w:style>
  <w:style w:type="paragraph" w:styleId="Tekstkomentarza">
    <w:name w:val="annotation text"/>
    <w:basedOn w:val="Normalny"/>
    <w:link w:val="TekstkomentarzaZnak"/>
    <w:uiPriority w:val="99"/>
    <w:semiHidden/>
    <w:unhideWhenUsed/>
    <w:qFormat/>
    <w:rsid w:val="00813FE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B379FD"/>
    <w:rPr>
      <w:b/>
      <w:bCs/>
    </w:rPr>
  </w:style>
  <w:style w:type="paragraph" w:styleId="Poprawka">
    <w:name w:val="Revision"/>
    <w:uiPriority w:val="99"/>
    <w:semiHidden/>
    <w:qFormat/>
    <w:rsid w:val="009F60F7"/>
    <w:pPr>
      <w:suppressAutoHyphens w:val="0"/>
    </w:pPr>
    <w:rPr>
      <w:sz w:val="22"/>
    </w:rPr>
  </w:style>
  <w:style w:type="paragraph" w:customStyle="1" w:styleId="Other0">
    <w:name w:val="Other"/>
    <w:basedOn w:val="Normalny"/>
    <w:link w:val="Other"/>
    <w:qFormat/>
    <w:rsid w:val="00916301"/>
    <w:pPr>
      <w:widowControl w:val="0"/>
      <w:suppressAutoHyphens w:val="0"/>
      <w:spacing w:after="0" w:line="240" w:lineRule="auto"/>
    </w:pPr>
    <w:rPr>
      <w:rFonts w:ascii="Calibri" w:eastAsia="Calibri" w:hAnsi="Calibri" w:cs="Calibri"/>
      <w:sz w:val="18"/>
      <w:szCs w:val="18"/>
    </w:rPr>
  </w:style>
  <w:style w:type="table" w:styleId="Tabela-Siatka">
    <w:name w:val="Table Grid"/>
    <w:basedOn w:val="Standardowy"/>
    <w:uiPriority w:val="39"/>
    <w:rsid w:val="007A0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pin.musicsources.pl/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AF5FC-980B-4CCB-A3DB-03FE9568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3586</Words>
  <Characters>21521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Karczmarczyk Sylwia</cp:lastModifiedBy>
  <cp:revision>4</cp:revision>
  <dcterms:created xsi:type="dcterms:W3CDTF">2021-09-07T12:08:00Z</dcterms:created>
  <dcterms:modified xsi:type="dcterms:W3CDTF">2021-09-23T13:56:00Z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